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92" w:rsidRPr="00850C27" w:rsidRDefault="00D4766B" w:rsidP="00D4766B">
      <w:pPr>
        <w:spacing w:after="0" w:line="240" w:lineRule="auto"/>
        <w:jc w:val="center"/>
        <w:rPr>
          <w:rFonts w:ascii="Arial" w:hAnsi="Arial" w:cs="Arial"/>
          <w:b/>
        </w:rPr>
      </w:pPr>
      <w:r w:rsidRPr="00850C27">
        <w:rPr>
          <w:rFonts w:ascii="Arial" w:hAnsi="Arial" w:cs="Arial"/>
          <w:b/>
        </w:rPr>
        <w:t>COMPARATIVO DE PROYECTO DE DECRETO QUE REFORMA O DEROGA LOS ARTÍCULOS 17, 61, 74, 108, 110, 111, 112 Y 114 DE LA CONSTITUCIÓN POLÍTICA DE LOS ESTADOS UNIDOS MEXICANOS, EN MATERIA DE DECLARATORIA DE PROCEDENCIA</w:t>
      </w:r>
    </w:p>
    <w:p w:rsidR="00D4766B" w:rsidRPr="00853933" w:rsidRDefault="00D4766B" w:rsidP="005B2892">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02"/>
        <w:gridCol w:w="4364"/>
        <w:gridCol w:w="39"/>
      </w:tblGrid>
      <w:tr w:rsidR="005B2892" w:rsidRPr="00853933" w:rsidTr="00D4766B">
        <w:trPr>
          <w:trHeight w:val="311"/>
        </w:trPr>
        <w:tc>
          <w:tcPr>
            <w:tcW w:w="4402" w:type="dxa"/>
            <w:shd w:val="clear" w:color="auto" w:fill="C00000"/>
            <w:vAlign w:val="center"/>
          </w:tcPr>
          <w:p w:rsidR="005B2892" w:rsidRPr="00D4766B" w:rsidRDefault="005B2892" w:rsidP="00EF3BE9">
            <w:pPr>
              <w:spacing w:line="276" w:lineRule="auto"/>
              <w:jc w:val="center"/>
              <w:rPr>
                <w:rFonts w:ascii="Arial" w:hAnsi="Arial" w:cs="Arial"/>
                <w:b/>
              </w:rPr>
            </w:pPr>
            <w:r w:rsidRPr="00D4766B">
              <w:rPr>
                <w:rFonts w:ascii="Arial" w:hAnsi="Arial" w:cs="Arial"/>
                <w:b/>
              </w:rPr>
              <w:t>Texto vigente</w:t>
            </w:r>
          </w:p>
        </w:tc>
        <w:tc>
          <w:tcPr>
            <w:tcW w:w="4403" w:type="dxa"/>
            <w:gridSpan w:val="2"/>
            <w:shd w:val="clear" w:color="auto" w:fill="C00000"/>
            <w:vAlign w:val="center"/>
          </w:tcPr>
          <w:p w:rsidR="00850C27" w:rsidRPr="00D4766B" w:rsidRDefault="005B2892" w:rsidP="00850C27">
            <w:pPr>
              <w:spacing w:line="276" w:lineRule="auto"/>
              <w:jc w:val="center"/>
              <w:rPr>
                <w:rFonts w:ascii="Arial" w:hAnsi="Arial" w:cs="Arial"/>
                <w:b/>
              </w:rPr>
            </w:pPr>
            <w:r w:rsidRPr="00D4766B">
              <w:rPr>
                <w:rFonts w:ascii="Arial" w:hAnsi="Arial" w:cs="Arial"/>
                <w:b/>
              </w:rPr>
              <w:t xml:space="preserve">Texto </w:t>
            </w:r>
            <w:r w:rsidR="00850C27">
              <w:rPr>
                <w:rFonts w:ascii="Arial" w:hAnsi="Arial" w:cs="Arial"/>
                <w:b/>
              </w:rPr>
              <w:t>del dictamen aprobado en Senado el 19 de abril de 2018</w:t>
            </w:r>
          </w:p>
        </w:tc>
      </w:tr>
      <w:tr w:rsidR="005B2892" w:rsidRPr="00D4766B" w:rsidTr="00D4766B">
        <w:trPr>
          <w:gridAfter w:val="1"/>
          <w:wAfter w:w="39" w:type="dxa"/>
          <w:trHeight w:val="393"/>
        </w:trPr>
        <w:tc>
          <w:tcPr>
            <w:tcW w:w="8766" w:type="dxa"/>
            <w:gridSpan w:val="2"/>
            <w:shd w:val="clear" w:color="auto" w:fill="D9D9D9" w:themeFill="background1" w:themeFillShade="D9"/>
            <w:vAlign w:val="center"/>
          </w:tcPr>
          <w:p w:rsidR="005B2892" w:rsidRPr="00D4766B" w:rsidRDefault="005B2892" w:rsidP="00EF3BE9">
            <w:pPr>
              <w:spacing w:line="276" w:lineRule="auto"/>
              <w:jc w:val="center"/>
              <w:rPr>
                <w:rFonts w:ascii="Arial" w:hAnsi="Arial" w:cs="Arial"/>
                <w:b/>
              </w:rPr>
            </w:pPr>
            <w:r w:rsidRPr="00D4766B">
              <w:rPr>
                <w:rFonts w:ascii="Arial" w:hAnsi="Arial" w:cs="Arial"/>
                <w:b/>
              </w:rPr>
              <w:t>Constitución Política de los Estados Unidos Mexicanos</w:t>
            </w:r>
          </w:p>
        </w:tc>
      </w:tr>
      <w:tr w:rsidR="005B2892" w:rsidRPr="00853933" w:rsidTr="00EF3BE9">
        <w:trPr>
          <w:trHeight w:val="3947"/>
        </w:trPr>
        <w:tc>
          <w:tcPr>
            <w:tcW w:w="4402" w:type="dxa"/>
          </w:tcPr>
          <w:p w:rsidR="005B2892" w:rsidRPr="00853933" w:rsidRDefault="005B2892" w:rsidP="00EF3BE9">
            <w:pPr>
              <w:spacing w:line="276" w:lineRule="auto"/>
              <w:jc w:val="center"/>
              <w:rPr>
                <w:rFonts w:ascii="Arial" w:hAnsi="Arial" w:cs="Arial"/>
              </w:rPr>
            </w:pPr>
          </w:p>
        </w:tc>
        <w:tc>
          <w:tcPr>
            <w:tcW w:w="4403" w:type="dxa"/>
            <w:gridSpan w:val="2"/>
          </w:tcPr>
          <w:p w:rsidR="005B2892" w:rsidRPr="00853933" w:rsidRDefault="005B2892" w:rsidP="00EF3BE9">
            <w:pPr>
              <w:spacing w:line="276" w:lineRule="auto"/>
              <w:jc w:val="both"/>
              <w:rPr>
                <w:rFonts w:ascii="Arial" w:hAnsi="Arial" w:cs="Arial"/>
              </w:rPr>
            </w:pPr>
            <w:r w:rsidRPr="00853933">
              <w:rPr>
                <w:rFonts w:ascii="Arial" w:hAnsi="Arial" w:cs="Arial"/>
              </w:rPr>
              <w:t xml:space="preserve">ÚNICO. Se </w:t>
            </w:r>
            <w:r w:rsidRPr="00E033FD">
              <w:rPr>
                <w:rFonts w:ascii="Arial" w:hAnsi="Arial" w:cs="Arial"/>
                <w:b/>
              </w:rPr>
              <w:t>modifica</w:t>
            </w:r>
            <w:r w:rsidRPr="00853933">
              <w:rPr>
                <w:rFonts w:ascii="Arial" w:hAnsi="Arial" w:cs="Arial"/>
              </w:rPr>
              <w:t xml:space="preserve"> el párrafo noveno del artículo 17, se </w:t>
            </w:r>
            <w:r w:rsidRPr="00E033FD">
              <w:rPr>
                <w:rFonts w:ascii="Arial" w:hAnsi="Arial" w:cs="Arial"/>
                <w:b/>
              </w:rPr>
              <w:t>modifica</w:t>
            </w:r>
            <w:r w:rsidRPr="00853933">
              <w:rPr>
                <w:rFonts w:ascii="Arial" w:hAnsi="Arial" w:cs="Arial"/>
              </w:rPr>
              <w:t xml:space="preserve"> el párrafo segundo del artículo 61 , se </w:t>
            </w:r>
            <w:r w:rsidRPr="00E033FD">
              <w:rPr>
                <w:rFonts w:ascii="Arial" w:hAnsi="Arial" w:cs="Arial"/>
                <w:b/>
              </w:rPr>
              <w:t>deroga</w:t>
            </w:r>
            <w:r w:rsidRPr="00853933">
              <w:rPr>
                <w:rFonts w:ascii="Arial" w:hAnsi="Arial" w:cs="Arial"/>
              </w:rPr>
              <w:t xml:space="preserve"> el párrafo primero fracción V del artículo 7 4, se </w:t>
            </w:r>
            <w:r w:rsidRPr="00E033FD">
              <w:rPr>
                <w:rFonts w:ascii="Arial" w:hAnsi="Arial" w:cs="Arial"/>
                <w:b/>
              </w:rPr>
              <w:t>deroga</w:t>
            </w:r>
            <w:r w:rsidRPr="00853933">
              <w:rPr>
                <w:rFonts w:ascii="Arial" w:hAnsi="Arial" w:cs="Arial"/>
              </w:rPr>
              <w:t xml:space="preserve"> el párrafo segundo y se </w:t>
            </w:r>
            <w:r w:rsidRPr="00E033FD">
              <w:rPr>
                <w:rFonts w:ascii="Arial" w:hAnsi="Arial" w:cs="Arial"/>
                <w:b/>
              </w:rPr>
              <w:t>reforma</w:t>
            </w:r>
            <w:r w:rsidRPr="00853933">
              <w:rPr>
                <w:rFonts w:ascii="Arial" w:hAnsi="Arial" w:cs="Arial"/>
              </w:rPr>
              <w:t xml:space="preserve"> el párrafo cuarto del artículo 108, se </w:t>
            </w:r>
            <w:r w:rsidRPr="00E033FD">
              <w:rPr>
                <w:rFonts w:ascii="Arial" w:hAnsi="Arial" w:cs="Arial"/>
                <w:b/>
              </w:rPr>
              <w:t>reforman</w:t>
            </w:r>
            <w:r w:rsidRPr="00853933">
              <w:rPr>
                <w:rFonts w:ascii="Arial" w:hAnsi="Arial" w:cs="Arial"/>
              </w:rPr>
              <w:t xml:space="preserve"> los párrafos primero y cuarto del artículo 110, se </w:t>
            </w:r>
            <w:r w:rsidRPr="00E033FD">
              <w:rPr>
                <w:rFonts w:ascii="Arial" w:hAnsi="Arial" w:cs="Arial"/>
                <w:b/>
              </w:rPr>
              <w:t>reforma</w:t>
            </w:r>
            <w:r w:rsidRPr="00853933">
              <w:rPr>
                <w:rFonts w:ascii="Arial" w:hAnsi="Arial" w:cs="Arial"/>
              </w:rPr>
              <w:t xml:space="preserve"> el p</w:t>
            </w:r>
            <w:r w:rsidR="00D4766B">
              <w:rPr>
                <w:rFonts w:ascii="Arial" w:hAnsi="Arial" w:cs="Arial"/>
              </w:rPr>
              <w:t>árrafo primero del artículo 111</w:t>
            </w:r>
            <w:r w:rsidRPr="00853933">
              <w:rPr>
                <w:rFonts w:ascii="Arial" w:hAnsi="Arial" w:cs="Arial"/>
              </w:rPr>
              <w:t xml:space="preserve">, se </w:t>
            </w:r>
            <w:r w:rsidRPr="00E033FD">
              <w:rPr>
                <w:rFonts w:ascii="Arial" w:hAnsi="Arial" w:cs="Arial"/>
                <w:b/>
              </w:rPr>
              <w:t>deroga</w:t>
            </w:r>
            <w:r w:rsidRPr="00853933">
              <w:rPr>
                <w:rFonts w:ascii="Arial" w:hAnsi="Arial" w:cs="Arial"/>
              </w:rPr>
              <w:t xml:space="preserve"> el párrafo primero del artículo 112 y se </w:t>
            </w:r>
            <w:r w:rsidRPr="00E033FD">
              <w:rPr>
                <w:rFonts w:ascii="Arial" w:hAnsi="Arial" w:cs="Arial"/>
                <w:b/>
              </w:rPr>
              <w:t>reforma</w:t>
            </w:r>
            <w:r w:rsidRPr="00853933">
              <w:rPr>
                <w:rFonts w:ascii="Arial" w:hAnsi="Arial" w:cs="Arial"/>
              </w:rPr>
              <w:t xml:space="preserve"> el párrafo segundo del artículo 114 de la Constitución Política de los Estados Unidos Mexicanos, en materia de declaratoria de procedencia, para quedar como sigue:</w:t>
            </w:r>
          </w:p>
        </w:tc>
      </w:tr>
      <w:tr w:rsidR="005B2892" w:rsidRPr="00853933" w:rsidTr="00EF3BE9">
        <w:trPr>
          <w:trHeight w:val="297"/>
        </w:trPr>
        <w:tc>
          <w:tcPr>
            <w:tcW w:w="4402" w:type="dxa"/>
          </w:tcPr>
          <w:p w:rsidR="005B2892" w:rsidRPr="00853933" w:rsidRDefault="005B2892" w:rsidP="00EF3BE9">
            <w:pPr>
              <w:spacing w:line="276" w:lineRule="auto"/>
              <w:jc w:val="both"/>
              <w:rPr>
                <w:rFonts w:ascii="Arial" w:hAnsi="Arial" w:cs="Arial"/>
              </w:rPr>
            </w:pPr>
            <w:r w:rsidRPr="00853933">
              <w:rPr>
                <w:rFonts w:ascii="Arial" w:hAnsi="Arial" w:cs="Arial"/>
              </w:rPr>
              <w:t>Artículo 17. …</w:t>
            </w:r>
            <w:r w:rsidR="00D808CA" w:rsidRPr="00853933">
              <w:rPr>
                <w:rFonts w:ascii="Arial" w:hAnsi="Arial" w:cs="Arial"/>
              </w:rPr>
              <w:t xml:space="preserve"> (ocho párrafos)</w:t>
            </w:r>
          </w:p>
        </w:tc>
        <w:tc>
          <w:tcPr>
            <w:tcW w:w="4403" w:type="dxa"/>
            <w:gridSpan w:val="2"/>
          </w:tcPr>
          <w:p w:rsidR="005B2892" w:rsidRPr="00853933" w:rsidRDefault="005B2892" w:rsidP="00EF3BE9">
            <w:pPr>
              <w:spacing w:line="276" w:lineRule="auto"/>
              <w:jc w:val="both"/>
              <w:rPr>
                <w:rFonts w:ascii="Arial" w:hAnsi="Arial" w:cs="Arial"/>
              </w:rPr>
            </w:pPr>
            <w:r w:rsidRPr="00853933">
              <w:rPr>
                <w:rFonts w:ascii="Arial" w:hAnsi="Arial" w:cs="Arial"/>
              </w:rPr>
              <w:t>Artículo 17. - ...</w:t>
            </w:r>
          </w:p>
        </w:tc>
      </w:tr>
      <w:tr w:rsidR="005B2892" w:rsidRPr="00853933" w:rsidTr="00EF3BE9">
        <w:trPr>
          <w:trHeight w:val="1514"/>
        </w:trPr>
        <w:tc>
          <w:tcPr>
            <w:tcW w:w="4402" w:type="dxa"/>
          </w:tcPr>
          <w:p w:rsidR="005B2892" w:rsidRPr="00853933" w:rsidRDefault="005B2892" w:rsidP="00EF3BE9">
            <w:pPr>
              <w:spacing w:line="276" w:lineRule="auto"/>
              <w:jc w:val="both"/>
              <w:rPr>
                <w:rFonts w:ascii="Arial" w:hAnsi="Arial" w:cs="Arial"/>
              </w:rPr>
            </w:pPr>
            <w:r w:rsidRPr="00853933">
              <w:rPr>
                <w:rFonts w:ascii="Arial" w:hAnsi="Arial" w:cs="Arial"/>
              </w:rPr>
              <w:t xml:space="preserve">Nadie </w:t>
            </w:r>
            <w:r w:rsidRPr="00853933">
              <w:rPr>
                <w:rFonts w:ascii="Arial" w:hAnsi="Arial" w:cs="Arial"/>
                <w:strike/>
              </w:rPr>
              <w:t>puede</w:t>
            </w:r>
            <w:r w:rsidRPr="00853933">
              <w:rPr>
                <w:rFonts w:ascii="Arial" w:hAnsi="Arial" w:cs="Arial"/>
              </w:rPr>
              <w:t xml:space="preserve"> ser </w:t>
            </w:r>
            <w:r w:rsidRPr="00853933">
              <w:rPr>
                <w:rFonts w:ascii="Arial" w:hAnsi="Arial" w:cs="Arial"/>
                <w:strike/>
              </w:rPr>
              <w:t>aprisionado</w:t>
            </w:r>
            <w:r w:rsidRPr="00853933">
              <w:rPr>
                <w:rFonts w:ascii="Arial" w:hAnsi="Arial" w:cs="Arial"/>
              </w:rPr>
              <w:t xml:space="preserve"> por deudas de carácter puramente civil.</w:t>
            </w:r>
          </w:p>
        </w:tc>
        <w:tc>
          <w:tcPr>
            <w:tcW w:w="4403" w:type="dxa"/>
            <w:gridSpan w:val="2"/>
          </w:tcPr>
          <w:p w:rsidR="005B2892" w:rsidRPr="00853933" w:rsidRDefault="005B2892" w:rsidP="00EF3BE9">
            <w:pPr>
              <w:spacing w:line="276" w:lineRule="auto"/>
              <w:jc w:val="both"/>
              <w:rPr>
                <w:rFonts w:ascii="Arial" w:hAnsi="Arial" w:cs="Arial"/>
              </w:rPr>
            </w:pPr>
            <w:r w:rsidRPr="00853933">
              <w:rPr>
                <w:rFonts w:ascii="Arial" w:hAnsi="Arial" w:cs="Arial"/>
              </w:rPr>
              <w:t xml:space="preserve">Nadie </w:t>
            </w:r>
            <w:r w:rsidRPr="00853933">
              <w:rPr>
                <w:rFonts w:ascii="Arial" w:hAnsi="Arial" w:cs="Arial"/>
                <w:b/>
              </w:rPr>
              <w:t>podrá</w:t>
            </w:r>
            <w:r w:rsidRPr="00853933">
              <w:rPr>
                <w:rFonts w:ascii="Arial" w:hAnsi="Arial" w:cs="Arial"/>
              </w:rPr>
              <w:t xml:space="preserve"> ser </w:t>
            </w:r>
            <w:r w:rsidRPr="00853933">
              <w:rPr>
                <w:rFonts w:ascii="Arial" w:hAnsi="Arial" w:cs="Arial"/>
                <w:b/>
              </w:rPr>
              <w:t>sancionado con pena privativa de libertad</w:t>
            </w:r>
            <w:r w:rsidRPr="00853933">
              <w:rPr>
                <w:rFonts w:ascii="Arial" w:hAnsi="Arial" w:cs="Arial"/>
              </w:rPr>
              <w:t xml:space="preserve"> por deudas de carácter puramente civil</w:t>
            </w:r>
            <w:r w:rsidRPr="00853933">
              <w:rPr>
                <w:rFonts w:ascii="Arial" w:hAnsi="Arial" w:cs="Arial"/>
                <w:b/>
              </w:rPr>
              <w:t>, ni por las conductas que atenten contra el honor de las personas, tales como la difamación, la calumnia y la injuria</w:t>
            </w:r>
            <w:r w:rsidRPr="00853933">
              <w:rPr>
                <w:rFonts w:ascii="Arial" w:hAnsi="Arial" w:cs="Arial"/>
              </w:rPr>
              <w:t>.</w:t>
            </w:r>
          </w:p>
        </w:tc>
      </w:tr>
      <w:tr w:rsidR="005B2892" w:rsidRPr="00853933" w:rsidTr="00EF3BE9">
        <w:trPr>
          <w:trHeight w:val="297"/>
        </w:trPr>
        <w:tc>
          <w:tcPr>
            <w:tcW w:w="4402" w:type="dxa"/>
          </w:tcPr>
          <w:p w:rsidR="005B2892" w:rsidRPr="00853933" w:rsidRDefault="00853933" w:rsidP="00EF3BE9">
            <w:pPr>
              <w:spacing w:line="276" w:lineRule="auto"/>
              <w:jc w:val="both"/>
              <w:rPr>
                <w:rFonts w:ascii="Arial" w:hAnsi="Arial" w:cs="Arial"/>
              </w:rPr>
            </w:pPr>
            <w:r>
              <w:rPr>
                <w:rFonts w:ascii="Arial" w:hAnsi="Arial" w:cs="Arial"/>
              </w:rPr>
              <w:t>Artículo 61</w:t>
            </w:r>
            <w:r w:rsidR="005B5E24" w:rsidRPr="00853933">
              <w:rPr>
                <w:rFonts w:ascii="Arial" w:hAnsi="Arial" w:cs="Arial"/>
              </w:rPr>
              <w:t>.</w:t>
            </w:r>
            <w:r w:rsidR="008E0C0F" w:rsidRPr="00853933">
              <w:rPr>
                <w:rFonts w:ascii="Arial" w:hAnsi="Arial" w:cs="Arial"/>
              </w:rPr>
              <w:t xml:space="preserve"> ...</w:t>
            </w:r>
          </w:p>
        </w:tc>
        <w:tc>
          <w:tcPr>
            <w:tcW w:w="4403" w:type="dxa"/>
            <w:gridSpan w:val="2"/>
          </w:tcPr>
          <w:p w:rsidR="005B2892" w:rsidRPr="00853933" w:rsidRDefault="008E0C0F" w:rsidP="00EF3BE9">
            <w:pPr>
              <w:spacing w:line="276" w:lineRule="auto"/>
              <w:jc w:val="both"/>
              <w:rPr>
                <w:rFonts w:ascii="Arial" w:hAnsi="Arial" w:cs="Arial"/>
              </w:rPr>
            </w:pPr>
            <w:r w:rsidRPr="00853933">
              <w:rPr>
                <w:rFonts w:ascii="Arial" w:hAnsi="Arial" w:cs="Arial"/>
              </w:rPr>
              <w:t xml:space="preserve">Artículo </w:t>
            </w:r>
            <w:proofErr w:type="gramStart"/>
            <w:r w:rsidRPr="00853933">
              <w:rPr>
                <w:rFonts w:ascii="Arial" w:hAnsi="Arial" w:cs="Arial"/>
              </w:rPr>
              <w:t>61 .</w:t>
            </w:r>
            <w:proofErr w:type="gramEnd"/>
            <w:r w:rsidRPr="00853933">
              <w:rPr>
                <w:rFonts w:ascii="Arial" w:hAnsi="Arial" w:cs="Arial"/>
              </w:rPr>
              <w:t>- ...</w:t>
            </w:r>
          </w:p>
        </w:tc>
      </w:tr>
      <w:tr w:rsidR="005B2892" w:rsidRPr="00853933" w:rsidTr="00EF3BE9">
        <w:trPr>
          <w:trHeight w:val="1217"/>
        </w:trPr>
        <w:tc>
          <w:tcPr>
            <w:tcW w:w="4402" w:type="dxa"/>
          </w:tcPr>
          <w:p w:rsidR="005B2892" w:rsidRPr="00853933" w:rsidRDefault="008E0C0F" w:rsidP="00EF3BE9">
            <w:pPr>
              <w:spacing w:line="276" w:lineRule="auto"/>
              <w:jc w:val="both"/>
              <w:rPr>
                <w:rFonts w:ascii="Arial" w:hAnsi="Arial" w:cs="Arial"/>
              </w:rPr>
            </w:pPr>
            <w:r w:rsidRPr="00853933">
              <w:rPr>
                <w:rFonts w:ascii="Arial" w:hAnsi="Arial" w:cs="Arial"/>
              </w:rPr>
              <w:t xml:space="preserve">El Presidente de cada Cámara velará por el respeto </w:t>
            </w:r>
            <w:r w:rsidRPr="00853933">
              <w:rPr>
                <w:rFonts w:ascii="Arial" w:hAnsi="Arial" w:cs="Arial"/>
                <w:strike/>
              </w:rPr>
              <w:t>al fuero constitucio</w:t>
            </w:r>
            <w:r w:rsidR="00853933">
              <w:rPr>
                <w:rFonts w:ascii="Arial" w:hAnsi="Arial" w:cs="Arial"/>
                <w:strike/>
              </w:rPr>
              <w:t xml:space="preserve">nal de los miembros de la </w:t>
            </w:r>
            <w:r w:rsidR="00853933" w:rsidRPr="00853933">
              <w:rPr>
                <w:rFonts w:ascii="Arial" w:hAnsi="Arial" w:cs="Arial"/>
                <w:strike/>
              </w:rPr>
              <w:t>misma</w:t>
            </w:r>
            <w:r w:rsidR="00853933">
              <w:rPr>
                <w:rFonts w:ascii="Arial" w:hAnsi="Arial" w:cs="Arial"/>
              </w:rPr>
              <w:t xml:space="preserve"> </w:t>
            </w:r>
            <w:r w:rsidRPr="00853933">
              <w:rPr>
                <w:rFonts w:ascii="Arial" w:hAnsi="Arial" w:cs="Arial"/>
              </w:rPr>
              <w:t xml:space="preserve">y </w:t>
            </w:r>
            <w:r w:rsidRPr="00853933">
              <w:rPr>
                <w:rFonts w:ascii="Arial" w:hAnsi="Arial" w:cs="Arial"/>
                <w:strike/>
              </w:rPr>
              <w:t>por</w:t>
            </w:r>
            <w:r w:rsidRPr="00853933">
              <w:rPr>
                <w:rFonts w:ascii="Arial" w:hAnsi="Arial" w:cs="Arial"/>
              </w:rPr>
              <w:t xml:space="preserve"> la inviolabilidad </w:t>
            </w:r>
            <w:r w:rsidRPr="00853933">
              <w:rPr>
                <w:rFonts w:ascii="Arial" w:hAnsi="Arial" w:cs="Arial"/>
                <w:strike/>
              </w:rPr>
              <w:t>del</w:t>
            </w:r>
            <w:r w:rsidRPr="00853933">
              <w:rPr>
                <w:rFonts w:ascii="Arial" w:hAnsi="Arial" w:cs="Arial"/>
              </w:rPr>
              <w:t xml:space="preserve"> recinto </w:t>
            </w:r>
            <w:r w:rsidRPr="00853933">
              <w:rPr>
                <w:rFonts w:ascii="Arial" w:hAnsi="Arial" w:cs="Arial"/>
                <w:strike/>
              </w:rPr>
              <w:t>donde se reúnan a sesionar</w:t>
            </w:r>
            <w:r w:rsidRPr="00853933">
              <w:rPr>
                <w:rFonts w:ascii="Arial" w:hAnsi="Arial" w:cs="Arial"/>
              </w:rPr>
              <w:t>.</w:t>
            </w:r>
          </w:p>
        </w:tc>
        <w:tc>
          <w:tcPr>
            <w:tcW w:w="4403" w:type="dxa"/>
            <w:gridSpan w:val="2"/>
          </w:tcPr>
          <w:p w:rsidR="005B2892" w:rsidRPr="00853933" w:rsidRDefault="008E0C0F" w:rsidP="00EF3BE9">
            <w:pPr>
              <w:spacing w:line="276" w:lineRule="auto"/>
              <w:jc w:val="both"/>
              <w:rPr>
                <w:rFonts w:ascii="Arial" w:hAnsi="Arial" w:cs="Arial"/>
              </w:rPr>
            </w:pPr>
            <w:r w:rsidRPr="00853933">
              <w:rPr>
                <w:rFonts w:ascii="Arial" w:hAnsi="Arial" w:cs="Arial"/>
              </w:rPr>
              <w:t xml:space="preserve">El Presidente de cada Cámara velará por el respeto y la inviolabilidad </w:t>
            </w:r>
            <w:r w:rsidRPr="00853933">
              <w:rPr>
                <w:rFonts w:ascii="Arial" w:hAnsi="Arial" w:cs="Arial"/>
                <w:b/>
              </w:rPr>
              <w:t>de</w:t>
            </w:r>
            <w:r w:rsidRPr="00853933">
              <w:rPr>
                <w:rFonts w:ascii="Arial" w:hAnsi="Arial" w:cs="Arial"/>
              </w:rPr>
              <w:t xml:space="preserve"> </w:t>
            </w:r>
            <w:r w:rsidRPr="00853933">
              <w:rPr>
                <w:rFonts w:ascii="Arial" w:hAnsi="Arial" w:cs="Arial"/>
                <w:b/>
              </w:rPr>
              <w:t>los</w:t>
            </w:r>
            <w:r w:rsidRPr="00853933">
              <w:rPr>
                <w:rFonts w:ascii="Arial" w:hAnsi="Arial" w:cs="Arial"/>
              </w:rPr>
              <w:t xml:space="preserve"> recinto</w:t>
            </w:r>
            <w:r w:rsidRPr="00853933">
              <w:rPr>
                <w:rFonts w:ascii="Arial" w:hAnsi="Arial" w:cs="Arial"/>
                <w:b/>
              </w:rPr>
              <w:t>s</w:t>
            </w:r>
            <w:r w:rsidRPr="00853933">
              <w:rPr>
                <w:rFonts w:ascii="Arial" w:hAnsi="Arial" w:cs="Arial"/>
              </w:rPr>
              <w:t xml:space="preserve"> </w:t>
            </w:r>
            <w:r w:rsidRPr="00853933">
              <w:rPr>
                <w:rFonts w:ascii="Arial" w:hAnsi="Arial" w:cs="Arial"/>
                <w:b/>
              </w:rPr>
              <w:t>parlamentarios</w:t>
            </w:r>
            <w:r w:rsidRPr="00853933">
              <w:rPr>
                <w:rFonts w:ascii="Arial" w:hAnsi="Arial" w:cs="Arial"/>
              </w:rPr>
              <w:t>.</w:t>
            </w:r>
          </w:p>
        </w:tc>
      </w:tr>
      <w:tr w:rsidR="005B2892" w:rsidRPr="00853933" w:rsidTr="00EF3BE9">
        <w:trPr>
          <w:trHeight w:val="297"/>
        </w:trPr>
        <w:tc>
          <w:tcPr>
            <w:tcW w:w="4402" w:type="dxa"/>
          </w:tcPr>
          <w:p w:rsidR="005B2892" w:rsidRPr="00853933" w:rsidRDefault="00E54A04" w:rsidP="00EF3BE9">
            <w:pPr>
              <w:spacing w:line="276" w:lineRule="auto"/>
              <w:jc w:val="both"/>
              <w:rPr>
                <w:rFonts w:ascii="Arial" w:hAnsi="Arial" w:cs="Arial"/>
              </w:rPr>
            </w:pPr>
            <w:r w:rsidRPr="00853933">
              <w:rPr>
                <w:rFonts w:ascii="Arial" w:hAnsi="Arial" w:cs="Arial"/>
              </w:rPr>
              <w:t xml:space="preserve">Artículo </w:t>
            </w:r>
            <w:r w:rsidR="005B5E24" w:rsidRPr="00853933">
              <w:rPr>
                <w:rFonts w:ascii="Arial" w:hAnsi="Arial" w:cs="Arial"/>
              </w:rPr>
              <w:t>74.</w:t>
            </w:r>
            <w:r w:rsidRPr="00853933">
              <w:rPr>
                <w:rFonts w:ascii="Arial" w:hAnsi="Arial" w:cs="Arial"/>
              </w:rPr>
              <w:t xml:space="preserve"> </w:t>
            </w:r>
            <w:r w:rsidR="00C801C2" w:rsidRPr="00853933">
              <w:rPr>
                <w:rFonts w:ascii="Arial" w:hAnsi="Arial" w:cs="Arial"/>
              </w:rPr>
              <w:t>Son facultades exclusivas de la Cámara de Diputados:</w:t>
            </w:r>
          </w:p>
        </w:tc>
        <w:tc>
          <w:tcPr>
            <w:tcW w:w="4403" w:type="dxa"/>
            <w:gridSpan w:val="2"/>
          </w:tcPr>
          <w:p w:rsidR="005B2892" w:rsidRPr="00853933" w:rsidRDefault="00E54A04" w:rsidP="00EF3BE9">
            <w:pPr>
              <w:spacing w:line="276" w:lineRule="auto"/>
              <w:jc w:val="both"/>
              <w:rPr>
                <w:rFonts w:ascii="Arial" w:hAnsi="Arial" w:cs="Arial"/>
              </w:rPr>
            </w:pPr>
            <w:r w:rsidRPr="00853933">
              <w:rPr>
                <w:rFonts w:ascii="Arial" w:hAnsi="Arial" w:cs="Arial"/>
              </w:rPr>
              <w:t>Artículo 74.</w:t>
            </w:r>
            <w:proofErr w:type="gramStart"/>
            <w:r w:rsidRPr="00853933">
              <w:rPr>
                <w:rFonts w:ascii="Arial" w:hAnsi="Arial" w:cs="Arial"/>
              </w:rPr>
              <w:t>- …</w:t>
            </w:r>
            <w:proofErr w:type="gramEnd"/>
          </w:p>
        </w:tc>
      </w:tr>
      <w:tr w:rsidR="00C801C2" w:rsidRPr="00853933" w:rsidTr="00EF3BE9">
        <w:trPr>
          <w:trHeight w:val="297"/>
        </w:trPr>
        <w:tc>
          <w:tcPr>
            <w:tcW w:w="4402" w:type="dxa"/>
          </w:tcPr>
          <w:p w:rsidR="00C801C2" w:rsidRPr="00853933" w:rsidRDefault="00C801C2" w:rsidP="00EF3BE9">
            <w:pPr>
              <w:spacing w:line="276" w:lineRule="auto"/>
              <w:jc w:val="both"/>
              <w:rPr>
                <w:rFonts w:ascii="Arial" w:hAnsi="Arial" w:cs="Arial"/>
              </w:rPr>
            </w:pPr>
            <w:r w:rsidRPr="00853933">
              <w:rPr>
                <w:rFonts w:ascii="Arial" w:hAnsi="Arial" w:cs="Arial"/>
              </w:rPr>
              <w:t>I a IV. …</w:t>
            </w:r>
          </w:p>
        </w:tc>
        <w:tc>
          <w:tcPr>
            <w:tcW w:w="4403" w:type="dxa"/>
            <w:gridSpan w:val="2"/>
          </w:tcPr>
          <w:p w:rsidR="00C801C2" w:rsidRPr="00853933" w:rsidRDefault="00D808CA" w:rsidP="00EF3BE9">
            <w:pPr>
              <w:spacing w:line="276" w:lineRule="auto"/>
              <w:jc w:val="both"/>
              <w:rPr>
                <w:rFonts w:ascii="Arial" w:hAnsi="Arial" w:cs="Arial"/>
              </w:rPr>
            </w:pPr>
            <w:r w:rsidRPr="00853933">
              <w:rPr>
                <w:rFonts w:ascii="Arial" w:hAnsi="Arial" w:cs="Arial"/>
              </w:rPr>
              <w:t>I a IV. …</w:t>
            </w:r>
          </w:p>
        </w:tc>
      </w:tr>
      <w:tr w:rsidR="00C801C2" w:rsidRPr="00853933" w:rsidTr="00EF3BE9">
        <w:trPr>
          <w:trHeight w:val="297"/>
        </w:trPr>
        <w:tc>
          <w:tcPr>
            <w:tcW w:w="4402" w:type="dxa"/>
          </w:tcPr>
          <w:p w:rsidR="00C801C2" w:rsidRPr="00853933" w:rsidRDefault="00C801C2" w:rsidP="00D4766B">
            <w:pPr>
              <w:spacing w:line="276" w:lineRule="auto"/>
              <w:jc w:val="both"/>
              <w:rPr>
                <w:rFonts w:ascii="Arial" w:hAnsi="Arial" w:cs="Arial"/>
              </w:rPr>
            </w:pPr>
            <w:r w:rsidRPr="00853933">
              <w:rPr>
                <w:rFonts w:ascii="Arial" w:hAnsi="Arial" w:cs="Arial"/>
                <w:strike/>
              </w:rPr>
              <w:t>V. Declarar si ha o no lugar a proceder penalmente contra los servidores públicos que hubieren incurrido en delito en los términos del artículo 111 de esta Constitución.</w:t>
            </w:r>
          </w:p>
        </w:tc>
        <w:tc>
          <w:tcPr>
            <w:tcW w:w="4403" w:type="dxa"/>
            <w:gridSpan w:val="2"/>
          </w:tcPr>
          <w:p w:rsidR="00C801C2" w:rsidRPr="00853933" w:rsidRDefault="00D808CA" w:rsidP="00EF3BE9">
            <w:pPr>
              <w:spacing w:line="276" w:lineRule="auto"/>
              <w:jc w:val="both"/>
              <w:rPr>
                <w:rFonts w:ascii="Arial" w:hAnsi="Arial" w:cs="Arial"/>
                <w:b/>
              </w:rPr>
            </w:pPr>
            <w:r w:rsidRPr="00853933">
              <w:rPr>
                <w:rFonts w:ascii="Arial" w:hAnsi="Arial" w:cs="Arial"/>
              </w:rPr>
              <w:t>V.</w:t>
            </w:r>
            <w:r w:rsidRPr="00853933">
              <w:rPr>
                <w:rFonts w:ascii="Arial" w:hAnsi="Arial" w:cs="Arial"/>
                <w:b/>
              </w:rPr>
              <w:t xml:space="preserve"> </w:t>
            </w:r>
            <w:r w:rsidR="00C801C2" w:rsidRPr="00853933">
              <w:rPr>
                <w:rFonts w:ascii="Arial" w:hAnsi="Arial" w:cs="Arial"/>
                <w:b/>
              </w:rPr>
              <w:t>Se deroga</w:t>
            </w:r>
          </w:p>
        </w:tc>
      </w:tr>
      <w:tr w:rsidR="00C801C2" w:rsidRPr="00853933" w:rsidTr="00EF3BE9">
        <w:trPr>
          <w:trHeight w:val="346"/>
        </w:trPr>
        <w:tc>
          <w:tcPr>
            <w:tcW w:w="4402" w:type="dxa"/>
          </w:tcPr>
          <w:p w:rsidR="00C801C2" w:rsidRPr="00853933" w:rsidRDefault="00C801C2" w:rsidP="00EF3BE9">
            <w:pPr>
              <w:spacing w:line="276" w:lineRule="auto"/>
              <w:jc w:val="both"/>
              <w:rPr>
                <w:rFonts w:ascii="Arial" w:hAnsi="Arial" w:cs="Arial"/>
              </w:rPr>
            </w:pPr>
            <w:r w:rsidRPr="00853933">
              <w:rPr>
                <w:rFonts w:ascii="Arial" w:hAnsi="Arial" w:cs="Arial"/>
              </w:rPr>
              <w:lastRenderedPageBreak/>
              <w:t>…</w:t>
            </w:r>
          </w:p>
        </w:tc>
        <w:tc>
          <w:tcPr>
            <w:tcW w:w="4403" w:type="dxa"/>
            <w:gridSpan w:val="2"/>
          </w:tcPr>
          <w:p w:rsidR="00C801C2" w:rsidRPr="00853933" w:rsidRDefault="00C801C2"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46"/>
        </w:trPr>
        <w:tc>
          <w:tcPr>
            <w:tcW w:w="4402" w:type="dxa"/>
          </w:tcPr>
          <w:p w:rsidR="00D4766B" w:rsidRPr="00853933" w:rsidRDefault="00D4766B" w:rsidP="00EF3BE9">
            <w:pPr>
              <w:jc w:val="both"/>
              <w:rPr>
                <w:rFonts w:ascii="Arial" w:hAnsi="Arial" w:cs="Arial"/>
              </w:rPr>
            </w:pPr>
            <w:r>
              <w:rPr>
                <w:rFonts w:ascii="Arial" w:hAnsi="Arial" w:cs="Arial"/>
              </w:rPr>
              <w:t>VI. a IX. …</w:t>
            </w:r>
          </w:p>
        </w:tc>
        <w:tc>
          <w:tcPr>
            <w:tcW w:w="4403" w:type="dxa"/>
            <w:gridSpan w:val="2"/>
          </w:tcPr>
          <w:p w:rsidR="00D4766B" w:rsidRPr="00853933" w:rsidRDefault="00D4766B" w:rsidP="00C70416">
            <w:pPr>
              <w:jc w:val="both"/>
              <w:rPr>
                <w:rFonts w:ascii="Arial" w:hAnsi="Arial" w:cs="Arial"/>
              </w:rPr>
            </w:pPr>
            <w:r>
              <w:rPr>
                <w:rFonts w:ascii="Arial" w:hAnsi="Arial" w:cs="Arial"/>
              </w:rPr>
              <w:t>VI. a IX. …</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Artículo 108. …</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Artículo 108.</w:t>
            </w:r>
            <w:proofErr w:type="gramStart"/>
            <w:r w:rsidRPr="00853933">
              <w:rPr>
                <w:rFonts w:ascii="Arial" w:hAnsi="Arial" w:cs="Arial"/>
              </w:rPr>
              <w:t>- …</w:t>
            </w:r>
            <w:proofErr w:type="gramEnd"/>
          </w:p>
        </w:tc>
      </w:tr>
      <w:tr w:rsidR="00D4766B" w:rsidRPr="00853933" w:rsidTr="00EF3BE9">
        <w:trPr>
          <w:trHeight w:val="1033"/>
        </w:trPr>
        <w:tc>
          <w:tcPr>
            <w:tcW w:w="4402" w:type="dxa"/>
          </w:tcPr>
          <w:p w:rsidR="00D4766B" w:rsidRPr="00853933" w:rsidRDefault="00D4766B" w:rsidP="00EF3BE9">
            <w:pPr>
              <w:spacing w:line="276" w:lineRule="auto"/>
              <w:jc w:val="both"/>
              <w:rPr>
                <w:rFonts w:ascii="Arial" w:hAnsi="Arial" w:cs="Arial"/>
                <w:strike/>
              </w:rPr>
            </w:pPr>
            <w:r w:rsidRPr="00853933">
              <w:rPr>
                <w:rFonts w:ascii="Arial" w:hAnsi="Arial" w:cs="Arial"/>
                <w:strike/>
              </w:rPr>
              <w:t>El Presidente de la República, durante el tiempo de su encargo, sólo podrá ser acusado por traición a la patria y delitos graves del orden común.</w:t>
            </w:r>
          </w:p>
        </w:tc>
        <w:tc>
          <w:tcPr>
            <w:tcW w:w="4403" w:type="dxa"/>
            <w:gridSpan w:val="2"/>
          </w:tcPr>
          <w:p w:rsidR="00D4766B" w:rsidRPr="00853933" w:rsidRDefault="00D4766B" w:rsidP="00EF3BE9">
            <w:pPr>
              <w:spacing w:line="276" w:lineRule="auto"/>
              <w:jc w:val="both"/>
              <w:rPr>
                <w:rFonts w:ascii="Arial" w:hAnsi="Arial" w:cs="Arial"/>
                <w:b/>
              </w:rPr>
            </w:pPr>
            <w:r w:rsidRPr="00853933">
              <w:rPr>
                <w:rFonts w:ascii="Arial" w:hAnsi="Arial" w:cs="Arial"/>
                <w:b/>
              </w:rPr>
              <w:t>Se deroga</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tc>
        <w:tc>
          <w:tcPr>
            <w:tcW w:w="4403" w:type="dxa"/>
            <w:gridSpan w:val="2"/>
          </w:tcPr>
          <w:p w:rsidR="00D4766B" w:rsidRPr="00853933" w:rsidRDefault="00D4766B" w:rsidP="00E033FD">
            <w:pPr>
              <w:autoSpaceDE w:val="0"/>
              <w:autoSpaceDN w:val="0"/>
              <w:adjustRightInd w:val="0"/>
              <w:spacing w:line="276" w:lineRule="auto"/>
              <w:jc w:val="both"/>
              <w:rPr>
                <w:rFonts w:ascii="Arial" w:hAnsi="Arial" w:cs="Arial"/>
              </w:rPr>
            </w:pPr>
            <w:r w:rsidRPr="00853933">
              <w:rPr>
                <w:rFonts w:ascii="Arial" w:hAnsi="Arial" w:cs="Arial"/>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w:t>
            </w:r>
            <w:r w:rsidRPr="00853933">
              <w:rPr>
                <w:rFonts w:ascii="Arial" w:hAnsi="Arial" w:cs="Arial"/>
                <w:b/>
              </w:rPr>
              <w:t>sin establecerles prerrogativas o tratos procesales especiales cuando incurran en cualquier tipo de responsabilidad o en la probable comisión de delitos.</w:t>
            </w:r>
            <w:r w:rsidRPr="00853933">
              <w:rPr>
                <w:rFonts w:ascii="Arial" w:hAnsi="Arial" w:cs="Arial"/>
              </w:rPr>
              <w:t xml:space="preserve"> Dichos servidores públicos serán responsables por el manejo indebido de recursos públicos y la deuda pública.</w:t>
            </w:r>
          </w:p>
        </w:tc>
      </w:tr>
      <w:tr w:rsidR="00E033FD" w:rsidRPr="00853933" w:rsidTr="00EF3BE9">
        <w:trPr>
          <w:trHeight w:val="311"/>
        </w:trPr>
        <w:tc>
          <w:tcPr>
            <w:tcW w:w="4402" w:type="dxa"/>
          </w:tcPr>
          <w:p w:rsidR="00E033FD" w:rsidRPr="00853933" w:rsidRDefault="00E033FD" w:rsidP="00EF3BE9">
            <w:pPr>
              <w:jc w:val="both"/>
              <w:rPr>
                <w:rFonts w:ascii="Arial" w:hAnsi="Arial" w:cs="Arial"/>
              </w:rPr>
            </w:pPr>
            <w:r>
              <w:rPr>
                <w:rFonts w:ascii="Arial" w:hAnsi="Arial" w:cs="Arial"/>
              </w:rPr>
              <w:t>…</w:t>
            </w:r>
          </w:p>
        </w:tc>
        <w:tc>
          <w:tcPr>
            <w:tcW w:w="4403" w:type="dxa"/>
            <w:gridSpan w:val="2"/>
          </w:tcPr>
          <w:p w:rsidR="00E033FD" w:rsidRPr="00853933" w:rsidRDefault="00E033FD" w:rsidP="00EF3BE9">
            <w:pPr>
              <w:autoSpaceDE w:val="0"/>
              <w:autoSpaceDN w:val="0"/>
              <w:adjustRightInd w:val="0"/>
              <w:jc w:val="both"/>
              <w:rPr>
                <w:rFonts w:ascii="Arial" w:hAnsi="Arial" w:cs="Arial"/>
              </w:rPr>
            </w:pPr>
            <w:r>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 xml:space="preserve">Artículo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w:t>
            </w:r>
            <w:r w:rsidRPr="00853933">
              <w:rPr>
                <w:rFonts w:ascii="Arial" w:hAnsi="Arial" w:cs="Arial"/>
              </w:rPr>
              <w:lastRenderedPageBreak/>
              <w:t>sociedades y asociaciones asimiladas a éstas y fideicomisos públicos.</w:t>
            </w:r>
          </w:p>
        </w:tc>
        <w:tc>
          <w:tcPr>
            <w:tcW w:w="4403" w:type="dxa"/>
            <w:gridSpan w:val="2"/>
          </w:tcPr>
          <w:p w:rsidR="00D4766B" w:rsidRPr="00853933" w:rsidRDefault="00D4766B" w:rsidP="00EF3BE9">
            <w:pPr>
              <w:autoSpaceDE w:val="0"/>
              <w:autoSpaceDN w:val="0"/>
              <w:adjustRightInd w:val="0"/>
              <w:spacing w:line="276" w:lineRule="auto"/>
              <w:jc w:val="both"/>
              <w:rPr>
                <w:rFonts w:ascii="Arial" w:hAnsi="Arial" w:cs="Arial"/>
              </w:rPr>
            </w:pPr>
            <w:r w:rsidRPr="00853933">
              <w:rPr>
                <w:rFonts w:ascii="Arial" w:hAnsi="Arial" w:cs="Arial"/>
              </w:rPr>
              <w:lastRenderedPageBreak/>
              <w:t>Artículo 110.- Podrán ser sujetos de juicio político</w:t>
            </w:r>
            <w:r w:rsidRPr="00853933">
              <w:rPr>
                <w:rFonts w:ascii="Arial" w:hAnsi="Arial" w:cs="Arial"/>
                <w:b/>
              </w:rPr>
              <w:t xml:space="preserve">, el Presidente de la República </w:t>
            </w:r>
            <w:r w:rsidRPr="00853933">
              <w:rPr>
                <w:rFonts w:ascii="Arial" w:hAnsi="Arial" w:cs="Arial"/>
              </w:rPr>
              <w:t>los senadores y diputados al Congreso de la Unión, los ministros de la Suprema Corte de Justicia de la Nación, los consejeros de la Judicatura Federal, los secretarios de Despacho, el Fiscal</w:t>
            </w:r>
            <w:r w:rsidRPr="00853933">
              <w:rPr>
                <w:rFonts w:ascii="Arial" w:hAnsi="Arial" w:cs="Arial"/>
                <w:b/>
              </w:rPr>
              <w:t xml:space="preserve"> </w:t>
            </w:r>
            <w:r w:rsidRPr="00853933">
              <w:rPr>
                <w:rFonts w:ascii="Arial" w:hAnsi="Arial" w:cs="Arial"/>
              </w:rPr>
              <w:t>General de la República, los magistrados de Circuito y jueces de Distrito, el consejero</w:t>
            </w:r>
            <w:r w:rsidRPr="00853933">
              <w:rPr>
                <w:rFonts w:ascii="Arial" w:hAnsi="Arial" w:cs="Arial"/>
                <w:b/>
              </w:rPr>
              <w:t xml:space="preserve"> </w:t>
            </w:r>
            <w:r w:rsidRPr="00853933">
              <w:rPr>
                <w:rFonts w:ascii="Arial" w:hAnsi="Arial" w:cs="Arial"/>
              </w:rPr>
              <w:t>Presidente, los consejeros electorales y el secretario ejecutivo del Instituto Nacional Electoral,</w:t>
            </w:r>
            <w:r w:rsidRPr="00853933">
              <w:rPr>
                <w:rFonts w:ascii="Arial" w:hAnsi="Arial" w:cs="Arial"/>
                <w:b/>
              </w:rPr>
              <w:t xml:space="preserve"> </w:t>
            </w:r>
            <w:r w:rsidRPr="00853933">
              <w:rPr>
                <w:rFonts w:ascii="Arial" w:hAnsi="Arial" w:cs="Arial"/>
              </w:rPr>
              <w:t>los magistrados del Tribunal Electoral, los integrantes de los órganos constitucionales</w:t>
            </w:r>
            <w:r w:rsidRPr="00853933">
              <w:rPr>
                <w:rFonts w:ascii="Arial" w:hAnsi="Arial" w:cs="Arial"/>
                <w:b/>
              </w:rPr>
              <w:t xml:space="preserve"> </w:t>
            </w:r>
            <w:r w:rsidRPr="00853933">
              <w:rPr>
                <w:rFonts w:ascii="Arial" w:hAnsi="Arial" w:cs="Arial"/>
              </w:rPr>
              <w:t>autónomos, los directores generales y sus equivalentes de los organismos descentralizados,</w:t>
            </w:r>
            <w:r w:rsidRPr="00853933">
              <w:rPr>
                <w:rFonts w:ascii="Arial" w:hAnsi="Arial" w:cs="Arial"/>
                <w:b/>
              </w:rPr>
              <w:t xml:space="preserve"> </w:t>
            </w:r>
            <w:r w:rsidRPr="00853933">
              <w:rPr>
                <w:rFonts w:ascii="Arial" w:hAnsi="Arial" w:cs="Arial"/>
              </w:rPr>
              <w:t xml:space="preserve">empresas </w:t>
            </w:r>
            <w:r w:rsidRPr="00853933">
              <w:rPr>
                <w:rFonts w:ascii="Arial" w:hAnsi="Arial" w:cs="Arial"/>
              </w:rPr>
              <w:lastRenderedPageBreak/>
              <w:t>de participación estatal mayoritaria, sociedades y asociaciones asimiladas a éstas y</w:t>
            </w:r>
            <w:r w:rsidRPr="00853933">
              <w:rPr>
                <w:rFonts w:ascii="Arial" w:hAnsi="Arial" w:cs="Arial"/>
                <w:b/>
              </w:rPr>
              <w:t xml:space="preserve"> </w:t>
            </w:r>
            <w:r w:rsidRPr="00853933">
              <w:rPr>
                <w:rFonts w:ascii="Arial" w:hAnsi="Arial" w:cs="Arial"/>
              </w:rPr>
              <w:t>fideicomisos públicos.</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lastRenderedPageBreak/>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tc>
        <w:tc>
          <w:tcPr>
            <w:tcW w:w="4403" w:type="dxa"/>
            <w:gridSpan w:val="2"/>
          </w:tcPr>
          <w:p w:rsidR="00D4766B" w:rsidRPr="00853933" w:rsidRDefault="00D4766B" w:rsidP="00EF3BE9">
            <w:pPr>
              <w:autoSpaceDE w:val="0"/>
              <w:autoSpaceDN w:val="0"/>
              <w:adjustRightInd w:val="0"/>
              <w:spacing w:line="276" w:lineRule="auto"/>
              <w:jc w:val="both"/>
              <w:rPr>
                <w:rFonts w:ascii="Arial" w:hAnsi="Arial" w:cs="Arial"/>
              </w:rPr>
            </w:pPr>
            <w:r w:rsidRPr="00853933">
              <w:rPr>
                <w:rFonts w:ascii="Arial" w:hAnsi="Arial" w:cs="Arial"/>
              </w:rPr>
              <w:t>Para la aplicación de las sanciones a que se refiere este precepto, la Cámara de Diputados procederá a la acusación respectiva ante la Cámara de Senadores, previa declaración de la mayoría absoluta del número de los miembros presentes en sesión de aquella Cámara</w:t>
            </w:r>
            <w:r w:rsidRPr="00853933">
              <w:rPr>
                <w:rFonts w:ascii="Arial" w:hAnsi="Arial" w:cs="Arial"/>
                <w:b/>
              </w:rPr>
              <w:t>, y para el caso del Presidente de la República, se requerirá de mayoría calificada</w:t>
            </w:r>
            <w:r w:rsidRPr="00853933">
              <w:rPr>
                <w:rFonts w:ascii="Arial" w:hAnsi="Arial" w:cs="Arial"/>
              </w:rPr>
              <w:t>, después de haber sustanciado el procedimiento respectivo y con audiencia del inculpado.</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p>
        </w:tc>
      </w:tr>
      <w:tr w:rsidR="00E033FD" w:rsidRPr="00853933" w:rsidTr="00EF3BE9">
        <w:trPr>
          <w:trHeight w:val="311"/>
        </w:trPr>
        <w:tc>
          <w:tcPr>
            <w:tcW w:w="4402" w:type="dxa"/>
          </w:tcPr>
          <w:p w:rsidR="00E033FD" w:rsidRPr="00853933" w:rsidRDefault="00E033FD" w:rsidP="00EF3BE9">
            <w:pPr>
              <w:jc w:val="both"/>
              <w:rPr>
                <w:rFonts w:ascii="Arial" w:hAnsi="Arial" w:cs="Arial"/>
              </w:rPr>
            </w:pPr>
            <w:r>
              <w:rPr>
                <w:rFonts w:ascii="Arial" w:hAnsi="Arial" w:cs="Arial"/>
              </w:rPr>
              <w:t>…</w:t>
            </w:r>
          </w:p>
        </w:tc>
        <w:tc>
          <w:tcPr>
            <w:tcW w:w="4403" w:type="dxa"/>
            <w:gridSpan w:val="2"/>
          </w:tcPr>
          <w:p w:rsidR="00E033FD" w:rsidRPr="00853933" w:rsidRDefault="00E033FD" w:rsidP="00EF3BE9">
            <w:pPr>
              <w:jc w:val="both"/>
              <w:rPr>
                <w:rFonts w:ascii="Arial" w:hAnsi="Arial" w:cs="Arial"/>
              </w:rPr>
            </w:pP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 xml:space="preserve">Artículo 111. Para </w:t>
            </w:r>
            <w:r w:rsidRPr="00853933">
              <w:rPr>
                <w:rFonts w:ascii="Arial" w:hAnsi="Arial" w:cs="Arial"/>
                <w:strike/>
              </w:rPr>
              <w:t>proceder</w:t>
            </w:r>
            <w:r w:rsidRPr="00853933">
              <w:rPr>
                <w:rFonts w:ascii="Arial" w:hAnsi="Arial" w:cs="Arial"/>
              </w:rPr>
              <w:t xml:space="preserve"> penalmente </w:t>
            </w:r>
            <w:r w:rsidRPr="00853933">
              <w:rPr>
                <w:rFonts w:ascii="Arial" w:hAnsi="Arial" w:cs="Arial"/>
                <w:strike/>
              </w:rPr>
              <w:t>contra</w:t>
            </w:r>
            <w:r w:rsidRPr="00853933">
              <w:rPr>
                <w:rFonts w:ascii="Arial" w:hAnsi="Arial" w:cs="Arial"/>
              </w:rPr>
              <w:t xml:space="preserve"> los </w:t>
            </w:r>
            <w:r w:rsidRPr="00853933">
              <w:rPr>
                <w:rFonts w:ascii="Arial" w:hAnsi="Arial" w:cs="Arial"/>
                <w:strike/>
              </w:rPr>
              <w:t>d</w:t>
            </w:r>
            <w:r w:rsidRPr="00853933">
              <w:rPr>
                <w:rFonts w:ascii="Arial" w:hAnsi="Arial" w:cs="Arial"/>
              </w:rPr>
              <w:t xml:space="preserve">iputados y </w:t>
            </w:r>
            <w:r w:rsidRPr="00853933">
              <w:rPr>
                <w:rFonts w:ascii="Arial" w:hAnsi="Arial" w:cs="Arial"/>
                <w:strike/>
              </w:rPr>
              <w:t>s</w:t>
            </w:r>
            <w:r w:rsidRPr="00853933">
              <w:rPr>
                <w:rFonts w:ascii="Arial" w:hAnsi="Arial" w:cs="Arial"/>
              </w:rPr>
              <w:t xml:space="preserve">enadores al Congreso de </w:t>
            </w:r>
            <w:smartTag w:uri="urn:schemas-microsoft-com:office:smarttags" w:element="PersonName">
              <w:smartTagPr>
                <w:attr w:name="ProductID" w:val="la Unión"/>
              </w:smartTagPr>
              <w:r w:rsidRPr="00853933">
                <w:rPr>
                  <w:rFonts w:ascii="Arial" w:hAnsi="Arial" w:cs="Arial"/>
                </w:rPr>
                <w:t>la Unión</w:t>
              </w:r>
            </w:smartTag>
            <w:r w:rsidRPr="00853933">
              <w:rPr>
                <w:rFonts w:ascii="Arial" w:hAnsi="Arial" w:cs="Arial"/>
              </w:rPr>
              <w:t xml:space="preserve">, los </w:t>
            </w:r>
            <w:r w:rsidRPr="00853933">
              <w:rPr>
                <w:rFonts w:ascii="Arial" w:hAnsi="Arial" w:cs="Arial"/>
                <w:strike/>
              </w:rPr>
              <w:t>m</w:t>
            </w:r>
            <w:r w:rsidRPr="00853933">
              <w:rPr>
                <w:rFonts w:ascii="Arial" w:hAnsi="Arial" w:cs="Arial"/>
              </w:rPr>
              <w:t xml:space="preserve">inistros de </w:t>
            </w:r>
            <w:smartTag w:uri="urn:schemas-microsoft-com:office:smarttags" w:element="PersonName">
              <w:smartTagPr>
                <w:attr w:name="ProductID" w:val="la Suprema Corte"/>
              </w:smartTagPr>
              <w:r w:rsidRPr="00853933">
                <w:rPr>
                  <w:rFonts w:ascii="Arial" w:hAnsi="Arial" w:cs="Arial"/>
                </w:rPr>
                <w:t>la Suprema Corte</w:t>
              </w:r>
            </w:smartTag>
            <w:r w:rsidRPr="00853933">
              <w:rPr>
                <w:rFonts w:ascii="Arial" w:hAnsi="Arial" w:cs="Arial"/>
              </w:rPr>
              <w:t xml:space="preserve"> de Justicia de </w:t>
            </w:r>
            <w:smartTag w:uri="urn:schemas-microsoft-com:office:smarttags" w:element="PersonName">
              <w:smartTagPr>
                <w:attr w:name="ProductID" w:val="la Nación"/>
              </w:smartTagPr>
              <w:r w:rsidRPr="00853933">
                <w:rPr>
                  <w:rFonts w:ascii="Arial" w:hAnsi="Arial" w:cs="Arial"/>
                </w:rPr>
                <w:t>la Nación</w:t>
              </w:r>
            </w:smartTag>
            <w:r w:rsidRPr="00853933">
              <w:rPr>
                <w:rFonts w:ascii="Arial" w:hAnsi="Arial" w:cs="Arial"/>
              </w:rPr>
              <w:t xml:space="preserve">, los </w:t>
            </w:r>
            <w:r w:rsidRPr="00853933">
              <w:rPr>
                <w:rFonts w:ascii="Arial" w:hAnsi="Arial" w:cs="Arial"/>
                <w:strike/>
              </w:rPr>
              <w:t>m</w:t>
            </w:r>
            <w:r w:rsidRPr="00853933">
              <w:rPr>
                <w:rFonts w:ascii="Arial" w:hAnsi="Arial" w:cs="Arial"/>
              </w:rPr>
              <w:t xml:space="preserve">agistrados de </w:t>
            </w:r>
            <w:smartTag w:uri="urn:schemas-microsoft-com:office:smarttags" w:element="PersonName">
              <w:smartTagPr>
                <w:attr w:name="ProductID" w:val="la Sala Superior"/>
              </w:smartTagPr>
              <w:r w:rsidRPr="00853933">
                <w:rPr>
                  <w:rFonts w:ascii="Arial" w:hAnsi="Arial" w:cs="Arial"/>
                </w:rPr>
                <w:t>la Sala Superior</w:t>
              </w:r>
            </w:smartTag>
            <w:r w:rsidRPr="00853933">
              <w:rPr>
                <w:rFonts w:ascii="Arial" w:hAnsi="Arial" w:cs="Arial"/>
              </w:rPr>
              <w:t xml:space="preserve"> del Tribunal Electoral, los </w:t>
            </w:r>
            <w:r w:rsidRPr="00853933">
              <w:rPr>
                <w:rFonts w:ascii="Arial" w:hAnsi="Arial" w:cs="Arial"/>
                <w:strike/>
              </w:rPr>
              <w:t>c</w:t>
            </w:r>
            <w:r w:rsidRPr="00853933">
              <w:rPr>
                <w:rFonts w:ascii="Arial" w:hAnsi="Arial" w:cs="Arial"/>
              </w:rPr>
              <w:t xml:space="preserve">onsejeros de </w:t>
            </w:r>
            <w:smartTag w:uri="urn:schemas-microsoft-com:office:smarttags" w:element="PersonName">
              <w:smartTagPr>
                <w:attr w:name="ProductID" w:val="la Judicatura Federal"/>
              </w:smartTagPr>
              <w:r w:rsidRPr="00853933">
                <w:rPr>
                  <w:rFonts w:ascii="Arial" w:hAnsi="Arial" w:cs="Arial"/>
                </w:rPr>
                <w:t>la Judicatura Federal</w:t>
              </w:r>
            </w:smartTag>
            <w:r w:rsidRPr="00853933">
              <w:rPr>
                <w:rFonts w:ascii="Arial" w:hAnsi="Arial" w:cs="Arial"/>
              </w:rPr>
              <w:t xml:space="preserve">, los </w:t>
            </w:r>
            <w:r w:rsidRPr="00853933">
              <w:rPr>
                <w:rFonts w:ascii="Arial" w:hAnsi="Arial" w:cs="Arial"/>
                <w:strike/>
              </w:rPr>
              <w:t>s</w:t>
            </w:r>
            <w:r w:rsidRPr="00853933">
              <w:rPr>
                <w:rFonts w:ascii="Arial" w:hAnsi="Arial" w:cs="Arial"/>
              </w:rPr>
              <w:t xml:space="preserve">ecretarios de Despacho, el Fiscal General de </w:t>
            </w:r>
            <w:smartTag w:uri="urn:schemas-microsoft-com:office:smarttags" w:element="PersonName">
              <w:smartTagPr>
                <w:attr w:name="ProductID" w:val="la República"/>
              </w:smartTagPr>
              <w:r w:rsidRPr="00853933">
                <w:rPr>
                  <w:rFonts w:ascii="Arial" w:hAnsi="Arial" w:cs="Arial"/>
                </w:rPr>
                <w:t>la República</w:t>
              </w:r>
            </w:smartTag>
            <w:r w:rsidRPr="00853933">
              <w:rPr>
                <w:rFonts w:ascii="Arial" w:hAnsi="Arial" w:cs="Arial"/>
              </w:rPr>
              <w:t xml:space="preserve">, </w:t>
            </w:r>
            <w:r w:rsidRPr="00853933">
              <w:rPr>
                <w:rFonts w:ascii="Arial" w:hAnsi="Arial" w:cs="Arial"/>
                <w:strike/>
              </w:rPr>
              <w:t>así como</w:t>
            </w:r>
            <w:r w:rsidRPr="00853933">
              <w:rPr>
                <w:rFonts w:ascii="Arial" w:hAnsi="Arial" w:cs="Arial"/>
              </w:rPr>
              <w:t xml:space="preserve"> el </w:t>
            </w:r>
            <w:r w:rsidRPr="00853933">
              <w:rPr>
                <w:rFonts w:ascii="Arial" w:hAnsi="Arial" w:cs="Arial"/>
                <w:strike/>
              </w:rPr>
              <w:t>c</w:t>
            </w:r>
            <w:r w:rsidRPr="00853933">
              <w:rPr>
                <w:rFonts w:ascii="Arial" w:hAnsi="Arial" w:cs="Arial"/>
              </w:rPr>
              <w:t xml:space="preserve">onsejero Presidente y los </w:t>
            </w:r>
            <w:r w:rsidRPr="00853933">
              <w:rPr>
                <w:rFonts w:ascii="Arial" w:hAnsi="Arial" w:cs="Arial"/>
                <w:strike/>
              </w:rPr>
              <w:t>c</w:t>
            </w:r>
            <w:r w:rsidRPr="00853933">
              <w:rPr>
                <w:rFonts w:ascii="Arial" w:hAnsi="Arial" w:cs="Arial"/>
              </w:rPr>
              <w:t xml:space="preserve">onsejeros electorales del Consejo General del Instituto Nacional Electoral, por la comisión de delitos </w:t>
            </w:r>
            <w:r w:rsidRPr="00853933">
              <w:rPr>
                <w:rFonts w:ascii="Arial" w:hAnsi="Arial" w:cs="Arial"/>
                <w:strike/>
              </w:rPr>
              <w:t>durante el tiempo de su encargo</w:t>
            </w:r>
            <w:r w:rsidRPr="00853933">
              <w:rPr>
                <w:rFonts w:ascii="Arial" w:hAnsi="Arial" w:cs="Arial"/>
              </w:rPr>
              <w:t xml:space="preserve">, </w:t>
            </w:r>
            <w:smartTag w:uri="urn:schemas-microsoft-com:office:smarttags" w:element="PersonName">
              <w:smartTagPr>
                <w:attr w:name="ProductID" w:val="La Cámara"/>
              </w:smartTagPr>
              <w:r w:rsidRPr="00853933">
                <w:rPr>
                  <w:rFonts w:ascii="Arial" w:hAnsi="Arial" w:cs="Arial"/>
                  <w:strike/>
                </w:rPr>
                <w:t>la Cámara</w:t>
              </w:r>
            </w:smartTag>
            <w:r w:rsidRPr="00853933">
              <w:rPr>
                <w:rFonts w:ascii="Arial" w:hAnsi="Arial" w:cs="Arial"/>
                <w:strike/>
              </w:rPr>
              <w:t xml:space="preserve"> de Diputados declarará por mayoría absoluta de sus miembros presentes en sesión, si ha o no lugar a proceder contra el inculpado.</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 xml:space="preserve">Artículo 111.- Para </w:t>
            </w:r>
            <w:r w:rsidRPr="00853933">
              <w:rPr>
                <w:rFonts w:ascii="Arial" w:hAnsi="Arial" w:cs="Arial"/>
                <w:b/>
              </w:rPr>
              <w:t>imputar</w:t>
            </w:r>
            <w:r w:rsidRPr="00853933">
              <w:rPr>
                <w:rFonts w:ascii="Arial" w:hAnsi="Arial" w:cs="Arial"/>
              </w:rPr>
              <w:t xml:space="preserve"> penalmente, </w:t>
            </w:r>
            <w:r w:rsidRPr="00853933">
              <w:rPr>
                <w:rFonts w:ascii="Arial" w:hAnsi="Arial" w:cs="Arial"/>
                <w:b/>
              </w:rPr>
              <w:t>durante el tiempo del encargo, al Presidente de la República</w:t>
            </w:r>
            <w:r w:rsidRPr="00853933">
              <w:rPr>
                <w:rFonts w:ascii="Arial" w:hAnsi="Arial" w:cs="Arial"/>
              </w:rPr>
              <w:t xml:space="preserve">, los </w:t>
            </w:r>
            <w:r w:rsidRPr="00853933">
              <w:rPr>
                <w:rFonts w:ascii="Arial" w:hAnsi="Arial" w:cs="Arial"/>
                <w:b/>
              </w:rPr>
              <w:t>D</w:t>
            </w:r>
            <w:r w:rsidRPr="00853933">
              <w:rPr>
                <w:rFonts w:ascii="Arial" w:hAnsi="Arial" w:cs="Arial"/>
              </w:rPr>
              <w:t xml:space="preserve">iputados y </w:t>
            </w:r>
            <w:r w:rsidRPr="00853933">
              <w:rPr>
                <w:rFonts w:ascii="Arial" w:hAnsi="Arial" w:cs="Arial"/>
                <w:b/>
              </w:rPr>
              <w:t>S</w:t>
            </w:r>
            <w:r w:rsidRPr="00853933">
              <w:rPr>
                <w:rFonts w:ascii="Arial" w:hAnsi="Arial" w:cs="Arial"/>
              </w:rPr>
              <w:t xml:space="preserve">enadores al Congreso de la Unión, los </w:t>
            </w:r>
            <w:r w:rsidRPr="00853933">
              <w:rPr>
                <w:rFonts w:ascii="Arial" w:hAnsi="Arial" w:cs="Arial"/>
                <w:b/>
              </w:rPr>
              <w:t>M</w:t>
            </w:r>
            <w:r w:rsidRPr="00853933">
              <w:rPr>
                <w:rFonts w:ascii="Arial" w:hAnsi="Arial" w:cs="Arial"/>
              </w:rPr>
              <w:t xml:space="preserve">inistros de la Suprema Corte de Justicia de la Nación, los </w:t>
            </w:r>
            <w:r w:rsidRPr="00853933">
              <w:rPr>
                <w:rFonts w:ascii="Arial" w:hAnsi="Arial" w:cs="Arial"/>
                <w:b/>
              </w:rPr>
              <w:t>M</w:t>
            </w:r>
            <w:r w:rsidRPr="00853933">
              <w:rPr>
                <w:rFonts w:ascii="Arial" w:hAnsi="Arial" w:cs="Arial"/>
              </w:rPr>
              <w:t xml:space="preserve">agistrados de la Sala Superior del Tribunal Electoral, los Consejeros de la Judicatura Federal, los </w:t>
            </w:r>
            <w:r w:rsidRPr="00853933">
              <w:rPr>
                <w:rFonts w:ascii="Arial" w:hAnsi="Arial" w:cs="Arial"/>
                <w:b/>
              </w:rPr>
              <w:t>S</w:t>
            </w:r>
            <w:r w:rsidRPr="00853933">
              <w:rPr>
                <w:rFonts w:ascii="Arial" w:hAnsi="Arial" w:cs="Arial"/>
              </w:rPr>
              <w:t xml:space="preserve">ecretarios de Despacho, el Fiscal General de la República, el </w:t>
            </w:r>
            <w:r w:rsidRPr="00853933">
              <w:rPr>
                <w:rFonts w:ascii="Arial" w:hAnsi="Arial" w:cs="Arial"/>
                <w:b/>
              </w:rPr>
              <w:t>C</w:t>
            </w:r>
            <w:r w:rsidRPr="00853933">
              <w:rPr>
                <w:rFonts w:ascii="Arial" w:hAnsi="Arial" w:cs="Arial"/>
              </w:rPr>
              <w:t xml:space="preserve">onsejero Presidente y los </w:t>
            </w:r>
            <w:r w:rsidRPr="00853933">
              <w:rPr>
                <w:rFonts w:ascii="Arial" w:hAnsi="Arial" w:cs="Arial"/>
                <w:b/>
              </w:rPr>
              <w:t>C</w:t>
            </w:r>
            <w:r w:rsidRPr="00853933">
              <w:rPr>
                <w:rFonts w:ascii="Arial" w:hAnsi="Arial" w:cs="Arial"/>
              </w:rPr>
              <w:t xml:space="preserve">onsejeros electorales del Consejo General del Instituto Nacional Electoral; </w:t>
            </w:r>
            <w:r w:rsidRPr="00853933">
              <w:rPr>
                <w:rFonts w:ascii="Arial" w:hAnsi="Arial" w:cs="Arial"/>
                <w:b/>
              </w:rPr>
              <w:t>así como a los Titulares de los Ejecutivos de las entidades federativas, Diputados locales, Magistrados de los Tribunales Superiores de Justicia de las entidades federativas, en su caso los miembros de los Consejos de las Judicaturas Locales; y a los Presidentes Municipales, Regidores, Alcaldes y Concejales,</w:t>
            </w:r>
            <w:r w:rsidRPr="00853933">
              <w:rPr>
                <w:rFonts w:ascii="Arial" w:hAnsi="Arial" w:cs="Arial"/>
              </w:rPr>
              <w:t xml:space="preserve"> por la comisión de delitos, </w:t>
            </w:r>
            <w:r w:rsidRPr="00853933">
              <w:rPr>
                <w:rFonts w:ascii="Arial" w:hAnsi="Arial" w:cs="Arial"/>
                <w:b/>
              </w:rPr>
              <w:t>se observarán los principios, derechos y garantías procesales que esta Constitución establece a toda persona.</w:t>
            </w:r>
          </w:p>
        </w:tc>
      </w:tr>
      <w:tr w:rsidR="00D4766B" w:rsidRPr="00853933" w:rsidTr="00EF3BE9">
        <w:trPr>
          <w:trHeight w:val="311"/>
        </w:trPr>
        <w:tc>
          <w:tcPr>
            <w:tcW w:w="4402" w:type="dxa"/>
          </w:tcPr>
          <w:p w:rsidR="00D4766B" w:rsidRPr="00853933" w:rsidRDefault="00D4766B" w:rsidP="00E033FD">
            <w:pPr>
              <w:spacing w:line="276" w:lineRule="auto"/>
              <w:jc w:val="both"/>
              <w:rPr>
                <w:rFonts w:ascii="Arial" w:hAnsi="Arial" w:cs="Arial"/>
                <w:strike/>
              </w:rPr>
            </w:pPr>
            <w:r w:rsidRPr="00853933">
              <w:rPr>
                <w:rFonts w:ascii="Arial" w:hAnsi="Arial" w:cs="Arial"/>
                <w:strike/>
              </w:rPr>
              <w:lastRenderedPageBreak/>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tc>
        <w:tc>
          <w:tcPr>
            <w:tcW w:w="4403" w:type="dxa"/>
            <w:gridSpan w:val="2"/>
          </w:tcPr>
          <w:p w:rsidR="00D4766B" w:rsidRPr="00EF3BE9" w:rsidRDefault="00D4766B" w:rsidP="00EF3BE9">
            <w:pPr>
              <w:autoSpaceDE w:val="0"/>
              <w:autoSpaceDN w:val="0"/>
              <w:adjustRightInd w:val="0"/>
              <w:spacing w:line="276" w:lineRule="auto"/>
              <w:jc w:val="both"/>
              <w:rPr>
                <w:rFonts w:ascii="Arial" w:hAnsi="Arial" w:cs="Arial"/>
                <w:b/>
              </w:rPr>
            </w:pPr>
            <w:r w:rsidRPr="00EF3BE9">
              <w:rPr>
                <w:rFonts w:ascii="Arial" w:hAnsi="Arial" w:cs="Arial"/>
                <w:b/>
              </w:rPr>
              <w:t>Se deroga</w:t>
            </w:r>
            <w:r w:rsidRPr="00EF3BE9">
              <w:rPr>
                <w:rStyle w:val="Refdenotaalpie"/>
                <w:rFonts w:ascii="Arial" w:hAnsi="Arial" w:cs="Arial"/>
                <w:b/>
              </w:rPr>
              <w:footnoteReference w:id="1"/>
            </w:r>
          </w:p>
          <w:p w:rsidR="00D4766B" w:rsidRPr="00853933" w:rsidRDefault="00D4766B" w:rsidP="00EF3BE9">
            <w:pPr>
              <w:autoSpaceDE w:val="0"/>
              <w:autoSpaceDN w:val="0"/>
              <w:adjustRightInd w:val="0"/>
              <w:spacing w:line="276" w:lineRule="auto"/>
              <w:jc w:val="both"/>
              <w:rPr>
                <w:rFonts w:ascii="Arial" w:hAnsi="Arial" w:cs="Arial"/>
              </w:rPr>
            </w:pPr>
          </w:p>
        </w:tc>
      </w:tr>
      <w:tr w:rsidR="00D4766B" w:rsidRPr="00853933" w:rsidTr="00EF3BE9">
        <w:trPr>
          <w:trHeight w:val="311"/>
        </w:trPr>
        <w:tc>
          <w:tcPr>
            <w:tcW w:w="4402" w:type="dxa"/>
          </w:tcPr>
          <w:p w:rsidR="00D4766B" w:rsidRPr="00853933" w:rsidRDefault="00D4766B" w:rsidP="00E033FD">
            <w:pPr>
              <w:spacing w:line="276" w:lineRule="auto"/>
              <w:jc w:val="both"/>
              <w:rPr>
                <w:rFonts w:ascii="Arial" w:hAnsi="Arial" w:cs="Arial"/>
                <w:strike/>
              </w:rPr>
            </w:pPr>
            <w:r w:rsidRPr="00853933">
              <w:rPr>
                <w:rFonts w:ascii="Arial" w:hAnsi="Arial" w:cs="Arial"/>
                <w:strike/>
              </w:rPr>
              <w:t>Si la Cámara declara que ha lugar a proceder, el sujeto quedará a disposición de las autoridades competentes para que actúen con arreglo a la ley.</w:t>
            </w:r>
          </w:p>
        </w:tc>
        <w:tc>
          <w:tcPr>
            <w:tcW w:w="4403" w:type="dxa"/>
            <w:gridSpan w:val="2"/>
          </w:tcPr>
          <w:p w:rsidR="00D4766B" w:rsidRPr="00EF3BE9" w:rsidRDefault="00D4766B" w:rsidP="00EF3BE9">
            <w:pPr>
              <w:autoSpaceDE w:val="0"/>
              <w:autoSpaceDN w:val="0"/>
              <w:adjustRightInd w:val="0"/>
              <w:spacing w:line="276" w:lineRule="auto"/>
              <w:jc w:val="both"/>
              <w:rPr>
                <w:rFonts w:ascii="Arial" w:hAnsi="Arial" w:cs="Arial"/>
                <w:b/>
              </w:rPr>
            </w:pPr>
            <w:r w:rsidRPr="00EF3BE9">
              <w:rPr>
                <w:rFonts w:ascii="Arial" w:hAnsi="Arial" w:cs="Arial"/>
                <w:b/>
              </w:rPr>
              <w:t>Se deroga</w:t>
            </w:r>
          </w:p>
          <w:p w:rsidR="00D4766B" w:rsidRPr="00EF3BE9" w:rsidRDefault="00D4766B" w:rsidP="00EF3BE9">
            <w:pPr>
              <w:autoSpaceDE w:val="0"/>
              <w:autoSpaceDN w:val="0"/>
              <w:adjustRightInd w:val="0"/>
              <w:spacing w:line="276" w:lineRule="auto"/>
              <w:jc w:val="both"/>
              <w:rPr>
                <w:rFonts w:ascii="Arial" w:hAnsi="Arial" w:cs="Arial"/>
                <w:b/>
              </w:rPr>
            </w:pPr>
          </w:p>
        </w:tc>
      </w:tr>
      <w:tr w:rsidR="00D4766B" w:rsidRPr="00853933" w:rsidTr="00EF3BE9">
        <w:trPr>
          <w:trHeight w:val="311"/>
        </w:trPr>
        <w:tc>
          <w:tcPr>
            <w:tcW w:w="4402" w:type="dxa"/>
          </w:tcPr>
          <w:p w:rsidR="00D4766B" w:rsidRPr="00853933" w:rsidRDefault="00D4766B" w:rsidP="00E033FD">
            <w:pPr>
              <w:spacing w:line="276" w:lineRule="auto"/>
              <w:jc w:val="both"/>
              <w:rPr>
                <w:rFonts w:ascii="Arial" w:hAnsi="Arial" w:cs="Arial"/>
                <w:strike/>
              </w:rPr>
            </w:pPr>
            <w:r w:rsidRPr="00853933">
              <w:rPr>
                <w:rFonts w:ascii="Arial" w:hAnsi="Arial" w:cs="Arial"/>
                <w:strike/>
              </w:rPr>
              <w:t>Por lo que toca al Presidente de la República, sólo habrá lugar a acusarlo ante la Cámara de Senadores en los términos del artículo 110. En este supuesto, la Cámara de Senadores resolverá con base en la legislación penal aplicable.</w:t>
            </w:r>
          </w:p>
        </w:tc>
        <w:tc>
          <w:tcPr>
            <w:tcW w:w="4403" w:type="dxa"/>
            <w:gridSpan w:val="2"/>
          </w:tcPr>
          <w:p w:rsidR="00D4766B" w:rsidRPr="00EF3BE9" w:rsidRDefault="00D4766B" w:rsidP="00EF3BE9">
            <w:pPr>
              <w:autoSpaceDE w:val="0"/>
              <w:autoSpaceDN w:val="0"/>
              <w:adjustRightInd w:val="0"/>
              <w:spacing w:line="276" w:lineRule="auto"/>
              <w:jc w:val="both"/>
              <w:rPr>
                <w:rFonts w:ascii="Arial" w:hAnsi="Arial" w:cs="Arial"/>
                <w:b/>
              </w:rPr>
            </w:pPr>
            <w:r w:rsidRPr="00EF3BE9">
              <w:rPr>
                <w:rFonts w:ascii="Arial" w:hAnsi="Arial" w:cs="Arial"/>
                <w:b/>
              </w:rPr>
              <w:t>Se deroga</w:t>
            </w:r>
          </w:p>
          <w:p w:rsidR="00D4766B" w:rsidRPr="00EF3BE9" w:rsidRDefault="00D4766B" w:rsidP="00EF3BE9">
            <w:pPr>
              <w:autoSpaceDE w:val="0"/>
              <w:autoSpaceDN w:val="0"/>
              <w:adjustRightInd w:val="0"/>
              <w:spacing w:line="276" w:lineRule="auto"/>
              <w:jc w:val="both"/>
              <w:rPr>
                <w:rFonts w:ascii="Arial" w:hAnsi="Arial" w:cs="Arial"/>
                <w:b/>
              </w:rPr>
            </w:pPr>
          </w:p>
        </w:tc>
      </w:tr>
      <w:tr w:rsidR="00D4766B" w:rsidRPr="00853933" w:rsidTr="00EF3BE9">
        <w:trPr>
          <w:trHeight w:val="311"/>
        </w:trPr>
        <w:tc>
          <w:tcPr>
            <w:tcW w:w="4402" w:type="dxa"/>
          </w:tcPr>
          <w:p w:rsidR="00D4766B" w:rsidRPr="00853933" w:rsidRDefault="00D4766B" w:rsidP="00E033FD">
            <w:pPr>
              <w:spacing w:line="276" w:lineRule="auto"/>
              <w:jc w:val="both"/>
              <w:rPr>
                <w:rFonts w:ascii="Arial" w:hAnsi="Arial" w:cs="Arial"/>
                <w:strike/>
              </w:rPr>
            </w:pPr>
            <w:r w:rsidRPr="00853933">
              <w:rPr>
                <w:rFonts w:ascii="Arial" w:hAnsi="Arial" w:cs="Arial"/>
                <w:strike/>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tc>
        <w:tc>
          <w:tcPr>
            <w:tcW w:w="4403" w:type="dxa"/>
            <w:gridSpan w:val="2"/>
          </w:tcPr>
          <w:p w:rsidR="00D4766B" w:rsidRPr="00EF3BE9" w:rsidRDefault="00D4766B" w:rsidP="00EF3BE9">
            <w:pPr>
              <w:autoSpaceDE w:val="0"/>
              <w:autoSpaceDN w:val="0"/>
              <w:adjustRightInd w:val="0"/>
              <w:spacing w:line="276" w:lineRule="auto"/>
              <w:jc w:val="both"/>
              <w:rPr>
                <w:rFonts w:ascii="Arial" w:hAnsi="Arial" w:cs="Arial"/>
                <w:b/>
              </w:rPr>
            </w:pPr>
            <w:r w:rsidRPr="00EF3BE9">
              <w:rPr>
                <w:rFonts w:ascii="Arial" w:hAnsi="Arial" w:cs="Arial"/>
                <w:b/>
              </w:rPr>
              <w:t>Se deroga</w:t>
            </w:r>
          </w:p>
          <w:p w:rsidR="00D4766B" w:rsidRPr="00853933" w:rsidRDefault="00D4766B" w:rsidP="00EF3BE9">
            <w:pPr>
              <w:autoSpaceDE w:val="0"/>
              <w:autoSpaceDN w:val="0"/>
              <w:adjustRightInd w:val="0"/>
              <w:spacing w:line="276" w:lineRule="auto"/>
              <w:jc w:val="both"/>
              <w:rPr>
                <w:rFonts w:ascii="Arial" w:hAnsi="Arial" w:cs="Arial"/>
              </w:rPr>
            </w:pPr>
          </w:p>
        </w:tc>
      </w:tr>
      <w:tr w:rsidR="00D4766B" w:rsidRPr="00853933" w:rsidTr="00EF3BE9">
        <w:trPr>
          <w:trHeight w:val="311"/>
        </w:trPr>
        <w:tc>
          <w:tcPr>
            <w:tcW w:w="4402" w:type="dxa"/>
          </w:tcPr>
          <w:p w:rsidR="00D4766B" w:rsidRPr="00853933" w:rsidRDefault="00D4766B" w:rsidP="00E033FD">
            <w:pPr>
              <w:spacing w:line="276" w:lineRule="auto"/>
              <w:jc w:val="both"/>
              <w:rPr>
                <w:rFonts w:ascii="Arial" w:hAnsi="Arial" w:cs="Arial"/>
              </w:rPr>
            </w:pPr>
            <w:r w:rsidRPr="00853933">
              <w:rPr>
                <w:rFonts w:ascii="Arial" w:hAnsi="Arial" w:cs="Arial"/>
                <w:strike/>
              </w:rPr>
              <w:t>Las declaraciones y resoluciones de la Cámaras de Diputados Senadores son inatacables.</w:t>
            </w:r>
          </w:p>
        </w:tc>
        <w:tc>
          <w:tcPr>
            <w:tcW w:w="4403" w:type="dxa"/>
            <w:gridSpan w:val="2"/>
          </w:tcPr>
          <w:p w:rsidR="00D4766B" w:rsidRPr="00EF3BE9" w:rsidRDefault="00D4766B" w:rsidP="00EF3BE9">
            <w:pPr>
              <w:autoSpaceDE w:val="0"/>
              <w:autoSpaceDN w:val="0"/>
              <w:adjustRightInd w:val="0"/>
              <w:spacing w:line="276" w:lineRule="auto"/>
              <w:jc w:val="both"/>
              <w:rPr>
                <w:rFonts w:ascii="Arial" w:hAnsi="Arial" w:cs="Arial"/>
                <w:b/>
              </w:rPr>
            </w:pPr>
            <w:r w:rsidRPr="00EF3BE9">
              <w:rPr>
                <w:rFonts w:ascii="Arial" w:hAnsi="Arial" w:cs="Arial"/>
                <w:b/>
              </w:rPr>
              <w:t>Se deroga</w:t>
            </w:r>
          </w:p>
          <w:p w:rsidR="00D4766B" w:rsidRPr="00853933" w:rsidRDefault="00D4766B" w:rsidP="00EF3BE9">
            <w:pPr>
              <w:autoSpaceDE w:val="0"/>
              <w:autoSpaceDN w:val="0"/>
              <w:adjustRightInd w:val="0"/>
              <w:spacing w:line="276" w:lineRule="auto"/>
              <w:jc w:val="both"/>
              <w:rPr>
                <w:rFonts w:ascii="Arial" w:hAnsi="Arial" w:cs="Arial"/>
              </w:rPr>
            </w:pP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strike/>
              </w:rPr>
            </w:pPr>
            <w:r w:rsidRPr="00853933">
              <w:rPr>
                <w:rFonts w:ascii="Arial" w:hAnsi="Arial" w:cs="Arial"/>
                <w:strike/>
              </w:rPr>
              <w:t xml:space="preserve">El efecto de la declaración de que ha lugar a proceder contra el inculpado será </w:t>
            </w:r>
            <w:r w:rsidRPr="00853933">
              <w:rPr>
                <w:rFonts w:ascii="Arial" w:hAnsi="Arial" w:cs="Arial"/>
                <w:strike/>
              </w:rPr>
              <w:lastRenderedPageBreak/>
              <w:t>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p w:rsidR="00D4766B" w:rsidRPr="00853933" w:rsidRDefault="00D4766B" w:rsidP="00EF3BE9">
            <w:pPr>
              <w:spacing w:line="276" w:lineRule="auto"/>
              <w:jc w:val="both"/>
              <w:rPr>
                <w:rFonts w:ascii="Arial" w:hAnsi="Arial" w:cs="Arial"/>
              </w:rPr>
            </w:pPr>
          </w:p>
        </w:tc>
        <w:tc>
          <w:tcPr>
            <w:tcW w:w="4403" w:type="dxa"/>
            <w:gridSpan w:val="2"/>
          </w:tcPr>
          <w:p w:rsidR="00D4766B" w:rsidRPr="00E033FD" w:rsidRDefault="00D4766B" w:rsidP="00EF3BE9">
            <w:pPr>
              <w:autoSpaceDE w:val="0"/>
              <w:autoSpaceDN w:val="0"/>
              <w:adjustRightInd w:val="0"/>
              <w:spacing w:line="276" w:lineRule="auto"/>
              <w:jc w:val="both"/>
              <w:rPr>
                <w:rFonts w:ascii="Arial" w:hAnsi="Arial" w:cs="Arial"/>
                <w:b/>
              </w:rPr>
            </w:pPr>
            <w:r w:rsidRPr="00E033FD">
              <w:rPr>
                <w:rFonts w:ascii="Arial" w:hAnsi="Arial" w:cs="Arial"/>
                <w:b/>
              </w:rPr>
              <w:lastRenderedPageBreak/>
              <w:t xml:space="preserve">Cuando el Juez determine la vinculación a proceso a alguno de los </w:t>
            </w:r>
            <w:r w:rsidRPr="00E033FD">
              <w:rPr>
                <w:rFonts w:ascii="Arial" w:hAnsi="Arial" w:cs="Arial"/>
                <w:b/>
              </w:rPr>
              <w:lastRenderedPageBreak/>
              <w:t xml:space="preserve">servidores públicos señalados en este artículo se le podrá imponer cualesquiera de las medidas cautelares que señale el Código Nacional de Procedimientos Penales, salvo la prisión preventiva y la suspensión temporal en el ejercicio del cargo, hasta en tanto no se dicte sentencia condenatoria o bien termine el periodo para el cual fue electo o nombrado. Si la sentencia fuese condenatoria y se trata de un delito cometido durante el ejercicio de su encargo, no se concederá a la persona privada de su libertad la gracia del indulto. En ningún caso se impedirá el ejercicio de las funciones y facultades inherentes a la deliberación o </w:t>
            </w:r>
            <w:r w:rsidRPr="00E033FD">
              <w:rPr>
                <w:rFonts w:ascii="Arial" w:hAnsi="Arial" w:cs="Arial"/>
                <w:b/>
                <w:iCs/>
              </w:rPr>
              <w:t xml:space="preserve">voto </w:t>
            </w:r>
            <w:r w:rsidRPr="00E033FD">
              <w:rPr>
                <w:rFonts w:ascii="Arial" w:hAnsi="Arial" w:cs="Arial"/>
                <w:b/>
              </w:rPr>
              <w:t>en los órganos colegiados del poder público al que pertenezca el servidor público imputado o acusado.</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strike/>
              </w:rPr>
            </w:pPr>
            <w:r w:rsidRPr="00853933">
              <w:rPr>
                <w:rFonts w:ascii="Arial" w:hAnsi="Arial" w:cs="Arial"/>
              </w:rPr>
              <w:lastRenderedPageBreak/>
              <w:t xml:space="preserve">En demandas del orden civil que se entablen contra </w:t>
            </w:r>
            <w:r w:rsidRPr="00853933">
              <w:rPr>
                <w:rFonts w:ascii="Arial" w:hAnsi="Arial" w:cs="Arial"/>
                <w:strike/>
              </w:rPr>
              <w:t xml:space="preserve">cualquier </w:t>
            </w:r>
            <w:r w:rsidRPr="00850C27">
              <w:rPr>
                <w:rFonts w:ascii="Arial" w:hAnsi="Arial" w:cs="Arial"/>
              </w:rPr>
              <w:t>servidor público</w:t>
            </w:r>
            <w:r w:rsidRPr="00853933">
              <w:rPr>
                <w:rFonts w:ascii="Arial" w:hAnsi="Arial" w:cs="Arial"/>
                <w:strike/>
              </w:rPr>
              <w:t xml:space="preserve"> no se requerirá declaración de procedencia.</w:t>
            </w:r>
          </w:p>
          <w:p w:rsidR="00D4766B" w:rsidRPr="00853933" w:rsidRDefault="00D4766B" w:rsidP="00EF3BE9">
            <w:pPr>
              <w:spacing w:line="276" w:lineRule="auto"/>
              <w:jc w:val="both"/>
              <w:rPr>
                <w:rFonts w:ascii="Arial" w:hAnsi="Arial" w:cs="Arial"/>
              </w:rPr>
            </w:pPr>
          </w:p>
        </w:tc>
        <w:tc>
          <w:tcPr>
            <w:tcW w:w="4403" w:type="dxa"/>
            <w:gridSpan w:val="2"/>
          </w:tcPr>
          <w:p w:rsidR="00D4766B" w:rsidRPr="00853933" w:rsidRDefault="00D4766B" w:rsidP="00EF3BE9">
            <w:pPr>
              <w:autoSpaceDE w:val="0"/>
              <w:autoSpaceDN w:val="0"/>
              <w:adjustRightInd w:val="0"/>
              <w:spacing w:line="276" w:lineRule="auto"/>
              <w:jc w:val="both"/>
              <w:rPr>
                <w:rFonts w:ascii="Arial" w:hAnsi="Arial" w:cs="Arial"/>
              </w:rPr>
            </w:pPr>
            <w:r w:rsidRPr="00853933">
              <w:rPr>
                <w:rFonts w:ascii="Arial" w:hAnsi="Arial" w:cs="Arial"/>
              </w:rPr>
              <w:t xml:space="preserve">En demandas del orden civil </w:t>
            </w:r>
            <w:r w:rsidRPr="00853933">
              <w:rPr>
                <w:rFonts w:ascii="Arial" w:hAnsi="Arial" w:cs="Arial"/>
                <w:b/>
              </w:rPr>
              <w:t>o cualquier otra distinta a la materia penal,</w:t>
            </w:r>
            <w:r w:rsidRPr="00853933">
              <w:rPr>
                <w:rFonts w:ascii="Arial" w:hAnsi="Arial" w:cs="Arial"/>
              </w:rPr>
              <w:t xml:space="preserve"> que se entablen </w:t>
            </w:r>
            <w:r w:rsidRPr="00853933">
              <w:rPr>
                <w:rFonts w:ascii="Arial" w:hAnsi="Arial" w:cs="Arial"/>
                <w:b/>
              </w:rPr>
              <w:t>en</w:t>
            </w:r>
            <w:r w:rsidRPr="00853933">
              <w:rPr>
                <w:rFonts w:ascii="Arial" w:hAnsi="Arial" w:cs="Arial"/>
              </w:rPr>
              <w:t xml:space="preserve"> contra</w:t>
            </w:r>
            <w:r w:rsidRPr="00853933">
              <w:rPr>
                <w:rFonts w:ascii="Arial" w:hAnsi="Arial" w:cs="Arial"/>
                <w:b/>
              </w:rPr>
              <w:t xml:space="preserve"> de los </w:t>
            </w:r>
            <w:r w:rsidRPr="00850C27">
              <w:rPr>
                <w:rFonts w:ascii="Arial" w:hAnsi="Arial" w:cs="Arial"/>
              </w:rPr>
              <w:t>servidor</w:t>
            </w:r>
            <w:r w:rsidRPr="00850C27">
              <w:rPr>
                <w:rFonts w:ascii="Arial" w:hAnsi="Arial" w:cs="Arial"/>
                <w:b/>
              </w:rPr>
              <w:t>es</w:t>
            </w:r>
            <w:r w:rsidRPr="00850C27">
              <w:rPr>
                <w:rFonts w:ascii="Arial" w:hAnsi="Arial" w:cs="Arial"/>
              </w:rPr>
              <w:t xml:space="preserve"> público</w:t>
            </w:r>
            <w:r w:rsidRPr="00850C27">
              <w:rPr>
                <w:rFonts w:ascii="Arial" w:hAnsi="Arial" w:cs="Arial"/>
                <w:b/>
              </w:rPr>
              <w:t>s</w:t>
            </w:r>
            <w:r w:rsidRPr="00853933">
              <w:rPr>
                <w:rFonts w:ascii="Arial" w:hAnsi="Arial" w:cs="Arial"/>
                <w:b/>
              </w:rPr>
              <w:t>, se observarán los procedimientos correspondientes</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 xml:space="preserve">Artículo 112. </w:t>
            </w:r>
            <w:r w:rsidRPr="00853933">
              <w:rPr>
                <w:rFonts w:ascii="Arial" w:hAnsi="Arial" w:cs="Arial"/>
                <w:strike/>
              </w:rPr>
              <w:t>No se requerirá declaración de procedencia de la Cámara de Diputados cuando alguno de los servidores públicos a que hace referencia el párrafo primero del artículo 111 cometa un delito durante el tiempo en que se encuentre separado de su encargo.</w:t>
            </w:r>
          </w:p>
        </w:tc>
        <w:tc>
          <w:tcPr>
            <w:tcW w:w="4403" w:type="dxa"/>
            <w:gridSpan w:val="2"/>
          </w:tcPr>
          <w:p w:rsidR="00D4766B" w:rsidRPr="00853933" w:rsidRDefault="00850C27" w:rsidP="00EF3BE9">
            <w:pPr>
              <w:spacing w:line="276" w:lineRule="auto"/>
              <w:jc w:val="both"/>
              <w:rPr>
                <w:rFonts w:ascii="Arial" w:hAnsi="Arial" w:cs="Arial"/>
              </w:rPr>
            </w:pPr>
            <w:r>
              <w:rPr>
                <w:rFonts w:ascii="Arial" w:hAnsi="Arial" w:cs="Arial"/>
              </w:rPr>
              <w:t xml:space="preserve">Articulo 112.- </w:t>
            </w:r>
            <w:r w:rsidRPr="00850C27">
              <w:rPr>
                <w:rFonts w:ascii="Arial" w:hAnsi="Arial" w:cs="Arial"/>
                <w:b/>
              </w:rPr>
              <w:t>S</w:t>
            </w:r>
            <w:r w:rsidR="00D4766B" w:rsidRPr="00850C27">
              <w:rPr>
                <w:rFonts w:ascii="Arial" w:hAnsi="Arial" w:cs="Arial"/>
                <w:b/>
              </w:rPr>
              <w:t>e deroga</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Artículo 114. …</w:t>
            </w:r>
          </w:p>
        </w:tc>
        <w:tc>
          <w:tcPr>
            <w:tcW w:w="4403" w:type="dxa"/>
            <w:gridSpan w:val="2"/>
          </w:tcPr>
          <w:p w:rsidR="00D4766B" w:rsidRPr="00853933" w:rsidRDefault="00D4766B" w:rsidP="00EF3BE9">
            <w:pPr>
              <w:spacing w:line="276" w:lineRule="auto"/>
              <w:jc w:val="both"/>
              <w:rPr>
                <w:rFonts w:ascii="Arial" w:hAnsi="Arial" w:cs="Arial"/>
              </w:rPr>
            </w:pPr>
            <w:r w:rsidRPr="00853933">
              <w:rPr>
                <w:rFonts w:ascii="Arial" w:hAnsi="Arial" w:cs="Arial"/>
              </w:rPr>
              <w:t>Artículo 114.-…</w:t>
            </w:r>
          </w:p>
        </w:tc>
      </w:tr>
      <w:tr w:rsidR="00D4766B" w:rsidRPr="00853933" w:rsidTr="00EF3BE9">
        <w:trPr>
          <w:trHeight w:val="311"/>
        </w:trPr>
        <w:tc>
          <w:tcPr>
            <w:tcW w:w="4402" w:type="dxa"/>
          </w:tcPr>
          <w:p w:rsidR="00D4766B" w:rsidRPr="00853933" w:rsidRDefault="00D4766B" w:rsidP="00EF3BE9">
            <w:pPr>
              <w:spacing w:line="276" w:lineRule="auto"/>
              <w:jc w:val="both"/>
              <w:rPr>
                <w:rFonts w:ascii="Arial" w:hAnsi="Arial" w:cs="Arial"/>
              </w:rPr>
            </w:pPr>
            <w:r w:rsidRPr="00853933">
              <w:rPr>
                <w:rFonts w:ascii="Arial" w:hAnsi="Arial" w:cs="Arial"/>
              </w:rPr>
              <w:t xml:space="preserve">La responsabilidad por delitos cometidos durante el tiempo del encargo por cualquier servidor público, será exigible de acuerdo con los plazos de prescripción consignados en la Ley penal, que nunca serán inferiores a tres años. </w:t>
            </w:r>
            <w:r w:rsidRPr="00853933">
              <w:rPr>
                <w:rFonts w:ascii="Arial" w:hAnsi="Arial" w:cs="Arial"/>
                <w:strike/>
              </w:rPr>
              <w:t xml:space="preserve">Los plazos de prescripción se interrumpen en tanto el </w:t>
            </w:r>
            <w:r w:rsidRPr="00853933">
              <w:rPr>
                <w:rFonts w:ascii="Arial" w:hAnsi="Arial" w:cs="Arial"/>
                <w:strike/>
              </w:rPr>
              <w:lastRenderedPageBreak/>
              <w:t>servidor público desempeña alguno de los encargos a que hace referencia el artículo 111.</w:t>
            </w:r>
          </w:p>
        </w:tc>
        <w:tc>
          <w:tcPr>
            <w:tcW w:w="4403" w:type="dxa"/>
            <w:gridSpan w:val="2"/>
          </w:tcPr>
          <w:p w:rsidR="00D4766B" w:rsidRPr="00853933" w:rsidRDefault="00D4766B" w:rsidP="00EF3BE9">
            <w:pPr>
              <w:autoSpaceDE w:val="0"/>
              <w:autoSpaceDN w:val="0"/>
              <w:adjustRightInd w:val="0"/>
              <w:spacing w:line="276" w:lineRule="auto"/>
              <w:jc w:val="both"/>
              <w:rPr>
                <w:rFonts w:ascii="Arial" w:hAnsi="Arial" w:cs="Arial"/>
              </w:rPr>
            </w:pPr>
            <w:r w:rsidRPr="00853933">
              <w:rPr>
                <w:rFonts w:ascii="Arial" w:hAnsi="Arial" w:cs="Arial"/>
              </w:rPr>
              <w:lastRenderedPageBreak/>
              <w:t>La responsabilidad por delitos cometidos durante el t</w:t>
            </w:r>
            <w:r>
              <w:rPr>
                <w:rFonts w:ascii="Arial" w:hAnsi="Arial" w:cs="Arial"/>
              </w:rPr>
              <w:t xml:space="preserve">iempo del encargo por cualquier </w:t>
            </w:r>
            <w:r w:rsidRPr="00853933">
              <w:rPr>
                <w:rFonts w:ascii="Arial" w:hAnsi="Arial" w:cs="Arial"/>
              </w:rPr>
              <w:t xml:space="preserve">servidor público será exigible de acuerdo con los plazos de prescripción consignados en </w:t>
            </w:r>
            <w:r>
              <w:rPr>
                <w:rFonts w:ascii="Arial" w:hAnsi="Arial" w:cs="Arial"/>
              </w:rPr>
              <w:t xml:space="preserve">la Ley </w:t>
            </w:r>
            <w:r w:rsidRPr="00853933">
              <w:rPr>
                <w:rFonts w:ascii="Arial" w:hAnsi="Arial" w:cs="Arial"/>
              </w:rPr>
              <w:t>penal, que nunca serán inferiores a tres años.</w:t>
            </w:r>
          </w:p>
        </w:tc>
      </w:tr>
      <w:tr w:rsidR="00850C27" w:rsidRPr="00853933" w:rsidTr="00EF3BE9">
        <w:trPr>
          <w:trHeight w:val="311"/>
        </w:trPr>
        <w:tc>
          <w:tcPr>
            <w:tcW w:w="4402" w:type="dxa"/>
          </w:tcPr>
          <w:p w:rsidR="00850C27" w:rsidRPr="00853933" w:rsidRDefault="00850C27" w:rsidP="00EF3BE9">
            <w:pPr>
              <w:jc w:val="both"/>
              <w:rPr>
                <w:rFonts w:ascii="Arial" w:hAnsi="Arial" w:cs="Arial"/>
              </w:rPr>
            </w:pPr>
            <w:r>
              <w:rPr>
                <w:rFonts w:ascii="Arial" w:hAnsi="Arial" w:cs="Arial"/>
              </w:rPr>
              <w:lastRenderedPageBreak/>
              <w:t>…</w:t>
            </w:r>
          </w:p>
        </w:tc>
        <w:tc>
          <w:tcPr>
            <w:tcW w:w="4403" w:type="dxa"/>
            <w:gridSpan w:val="2"/>
          </w:tcPr>
          <w:p w:rsidR="00850C27" w:rsidRPr="00853933" w:rsidRDefault="00850C27" w:rsidP="00EF3BE9">
            <w:pPr>
              <w:autoSpaceDE w:val="0"/>
              <w:autoSpaceDN w:val="0"/>
              <w:adjustRightInd w:val="0"/>
              <w:jc w:val="both"/>
              <w:rPr>
                <w:rFonts w:ascii="Arial" w:hAnsi="Arial" w:cs="Arial"/>
              </w:rPr>
            </w:pPr>
            <w:r>
              <w:rPr>
                <w:rFonts w:ascii="Arial" w:hAnsi="Arial" w:cs="Arial"/>
              </w:rPr>
              <w:t>…</w:t>
            </w:r>
          </w:p>
        </w:tc>
      </w:tr>
      <w:tr w:rsidR="00850C27" w:rsidRPr="00853933" w:rsidTr="00EF3BE9">
        <w:trPr>
          <w:trHeight w:val="311"/>
        </w:trPr>
        <w:tc>
          <w:tcPr>
            <w:tcW w:w="4402" w:type="dxa"/>
          </w:tcPr>
          <w:p w:rsidR="00850C27" w:rsidRPr="00853933" w:rsidRDefault="00850C27" w:rsidP="00EF3BE9">
            <w:pPr>
              <w:jc w:val="both"/>
              <w:rPr>
                <w:rFonts w:ascii="Arial" w:hAnsi="Arial" w:cs="Arial"/>
              </w:rPr>
            </w:pPr>
          </w:p>
        </w:tc>
        <w:tc>
          <w:tcPr>
            <w:tcW w:w="4403" w:type="dxa"/>
            <w:gridSpan w:val="2"/>
          </w:tcPr>
          <w:p w:rsidR="00850C27" w:rsidRPr="00853933" w:rsidRDefault="00850C27" w:rsidP="00EF3BE9">
            <w:pPr>
              <w:autoSpaceDE w:val="0"/>
              <w:autoSpaceDN w:val="0"/>
              <w:adjustRightInd w:val="0"/>
              <w:jc w:val="both"/>
              <w:rPr>
                <w:rFonts w:ascii="Arial" w:hAnsi="Arial" w:cs="Arial"/>
              </w:rPr>
            </w:pPr>
            <w:r w:rsidRPr="00850C27">
              <w:rPr>
                <w:rFonts w:ascii="Arial" w:hAnsi="Arial" w:cs="Arial"/>
              </w:rPr>
              <w:t>TRANSITORIOS</w:t>
            </w:r>
          </w:p>
        </w:tc>
      </w:tr>
      <w:tr w:rsidR="00850C27" w:rsidRPr="00853933" w:rsidTr="00EF3BE9">
        <w:trPr>
          <w:trHeight w:val="311"/>
        </w:trPr>
        <w:tc>
          <w:tcPr>
            <w:tcW w:w="4402" w:type="dxa"/>
          </w:tcPr>
          <w:p w:rsidR="00850C27" w:rsidRPr="00853933" w:rsidRDefault="00850C27" w:rsidP="00EF3BE9">
            <w:pPr>
              <w:jc w:val="both"/>
              <w:rPr>
                <w:rFonts w:ascii="Arial" w:hAnsi="Arial" w:cs="Arial"/>
              </w:rPr>
            </w:pPr>
          </w:p>
        </w:tc>
        <w:tc>
          <w:tcPr>
            <w:tcW w:w="4403" w:type="dxa"/>
            <w:gridSpan w:val="2"/>
          </w:tcPr>
          <w:p w:rsidR="00850C27" w:rsidRPr="00853933" w:rsidRDefault="00850C27" w:rsidP="00850C27">
            <w:pPr>
              <w:autoSpaceDE w:val="0"/>
              <w:autoSpaceDN w:val="0"/>
              <w:adjustRightInd w:val="0"/>
              <w:jc w:val="both"/>
              <w:rPr>
                <w:rFonts w:ascii="Arial" w:hAnsi="Arial" w:cs="Arial"/>
              </w:rPr>
            </w:pPr>
            <w:r w:rsidRPr="00850C27">
              <w:rPr>
                <w:rFonts w:ascii="Arial" w:hAnsi="Arial" w:cs="Arial"/>
              </w:rPr>
              <w:t>PRIMERO.- El presente Decreto entrará en vigor al día siguiente a su publicación en el</w:t>
            </w:r>
            <w:r>
              <w:rPr>
                <w:rFonts w:ascii="Arial" w:hAnsi="Arial" w:cs="Arial"/>
              </w:rPr>
              <w:t xml:space="preserve"> </w:t>
            </w:r>
            <w:r w:rsidRPr="00850C27">
              <w:rPr>
                <w:rFonts w:ascii="Arial" w:hAnsi="Arial" w:cs="Arial"/>
              </w:rPr>
              <w:t>Diario Oficial de la Federación.</w:t>
            </w:r>
          </w:p>
        </w:tc>
      </w:tr>
      <w:tr w:rsidR="00850C27" w:rsidRPr="00853933" w:rsidTr="00EF3BE9">
        <w:trPr>
          <w:trHeight w:val="311"/>
        </w:trPr>
        <w:tc>
          <w:tcPr>
            <w:tcW w:w="4402" w:type="dxa"/>
          </w:tcPr>
          <w:p w:rsidR="00850C27" w:rsidRPr="00853933" w:rsidRDefault="00850C27" w:rsidP="00EF3BE9">
            <w:pPr>
              <w:jc w:val="both"/>
              <w:rPr>
                <w:rFonts w:ascii="Arial" w:hAnsi="Arial" w:cs="Arial"/>
              </w:rPr>
            </w:pPr>
          </w:p>
        </w:tc>
        <w:tc>
          <w:tcPr>
            <w:tcW w:w="4403" w:type="dxa"/>
            <w:gridSpan w:val="2"/>
          </w:tcPr>
          <w:p w:rsidR="00850C27" w:rsidRPr="00853933" w:rsidRDefault="00850C27" w:rsidP="00850C27">
            <w:pPr>
              <w:autoSpaceDE w:val="0"/>
              <w:autoSpaceDN w:val="0"/>
              <w:adjustRightInd w:val="0"/>
              <w:jc w:val="both"/>
              <w:rPr>
                <w:rFonts w:ascii="Arial" w:hAnsi="Arial" w:cs="Arial"/>
              </w:rPr>
            </w:pPr>
            <w:r w:rsidRPr="00850C27">
              <w:rPr>
                <w:rFonts w:ascii="Arial" w:hAnsi="Arial" w:cs="Arial"/>
              </w:rPr>
              <w:t>SEGUNDO.- El Congreso de la Unión realizará las reformas y adiciones al orden jurídico</w:t>
            </w:r>
            <w:r>
              <w:rPr>
                <w:rFonts w:ascii="Arial" w:hAnsi="Arial" w:cs="Arial"/>
              </w:rPr>
              <w:t xml:space="preserve"> </w:t>
            </w:r>
            <w:r w:rsidRPr="00850C27">
              <w:rPr>
                <w:rFonts w:ascii="Arial" w:hAnsi="Arial" w:cs="Arial"/>
              </w:rPr>
              <w:t>vigente.</w:t>
            </w:r>
          </w:p>
        </w:tc>
      </w:tr>
      <w:tr w:rsidR="00850C27" w:rsidRPr="00853933" w:rsidTr="00EF3BE9">
        <w:trPr>
          <w:trHeight w:val="311"/>
        </w:trPr>
        <w:tc>
          <w:tcPr>
            <w:tcW w:w="4402" w:type="dxa"/>
          </w:tcPr>
          <w:p w:rsidR="00850C27" w:rsidRPr="00853933" w:rsidRDefault="00850C27" w:rsidP="00EF3BE9">
            <w:pPr>
              <w:jc w:val="both"/>
              <w:rPr>
                <w:rFonts w:ascii="Arial" w:hAnsi="Arial" w:cs="Arial"/>
              </w:rPr>
            </w:pPr>
          </w:p>
        </w:tc>
        <w:tc>
          <w:tcPr>
            <w:tcW w:w="4403" w:type="dxa"/>
            <w:gridSpan w:val="2"/>
          </w:tcPr>
          <w:p w:rsidR="00850C27" w:rsidRPr="00853933" w:rsidRDefault="00850C27" w:rsidP="00850C27">
            <w:pPr>
              <w:autoSpaceDE w:val="0"/>
              <w:autoSpaceDN w:val="0"/>
              <w:adjustRightInd w:val="0"/>
              <w:jc w:val="both"/>
              <w:rPr>
                <w:rFonts w:ascii="Arial" w:hAnsi="Arial" w:cs="Arial"/>
              </w:rPr>
            </w:pPr>
            <w:r w:rsidRPr="00850C27">
              <w:rPr>
                <w:rFonts w:ascii="Arial" w:hAnsi="Arial" w:cs="Arial"/>
              </w:rPr>
              <w:t>TERCERO</w:t>
            </w:r>
            <w:proofErr w:type="gramStart"/>
            <w:r w:rsidRPr="00850C27">
              <w:rPr>
                <w:rFonts w:ascii="Arial" w:hAnsi="Arial" w:cs="Arial"/>
              </w:rPr>
              <w:t>.·</w:t>
            </w:r>
            <w:proofErr w:type="gramEnd"/>
            <w:r w:rsidRPr="00850C27">
              <w:rPr>
                <w:rFonts w:ascii="Arial" w:hAnsi="Arial" w:cs="Arial"/>
              </w:rPr>
              <w:t xml:space="preserve"> Las entidades federativas contarán con 180 días a partir de que entre en</w:t>
            </w:r>
            <w:r>
              <w:rPr>
                <w:rFonts w:ascii="Arial" w:hAnsi="Arial" w:cs="Arial"/>
              </w:rPr>
              <w:t xml:space="preserve"> </w:t>
            </w:r>
            <w:r w:rsidRPr="00850C27">
              <w:rPr>
                <w:rFonts w:ascii="Arial" w:hAnsi="Arial" w:cs="Arial"/>
              </w:rPr>
              <w:t>vigor el presente decreto, para armonizar sus constituciones locales a las presentes</w:t>
            </w:r>
            <w:r>
              <w:rPr>
                <w:rFonts w:ascii="Arial" w:hAnsi="Arial" w:cs="Arial"/>
              </w:rPr>
              <w:t xml:space="preserve"> </w:t>
            </w:r>
            <w:r w:rsidRPr="00850C27">
              <w:rPr>
                <w:rFonts w:ascii="Arial" w:hAnsi="Arial" w:cs="Arial"/>
              </w:rPr>
              <w:t>disposiciones; quedando sin efecto las disposiciones locales que contravengan al presente</w:t>
            </w:r>
            <w:r>
              <w:rPr>
                <w:rFonts w:ascii="Arial" w:hAnsi="Arial" w:cs="Arial"/>
              </w:rPr>
              <w:t xml:space="preserve"> </w:t>
            </w:r>
            <w:r w:rsidRPr="00850C27">
              <w:rPr>
                <w:rFonts w:ascii="Arial" w:hAnsi="Arial" w:cs="Arial"/>
              </w:rPr>
              <w:t>decreto.</w:t>
            </w:r>
          </w:p>
        </w:tc>
      </w:tr>
    </w:tbl>
    <w:p w:rsidR="005B2892" w:rsidRDefault="005B2892" w:rsidP="005B2892">
      <w:pPr>
        <w:spacing w:after="0" w:line="240" w:lineRule="auto"/>
        <w:jc w:val="both"/>
      </w:pPr>
    </w:p>
    <w:p w:rsidR="005B2892" w:rsidRDefault="005B2892" w:rsidP="005B2892">
      <w:pPr>
        <w:spacing w:after="0" w:line="240" w:lineRule="auto"/>
      </w:pPr>
    </w:p>
    <w:p w:rsidR="005B2892" w:rsidRDefault="005B2892" w:rsidP="005B2892">
      <w:pPr>
        <w:spacing w:after="0" w:line="240" w:lineRule="auto"/>
      </w:pPr>
    </w:p>
    <w:p w:rsidR="00673E8B" w:rsidRDefault="00673E8B">
      <w:r>
        <w:br w:type="page"/>
      </w:r>
      <w:bookmarkStart w:id="0" w:name="_GoBack"/>
      <w:bookmarkEnd w:id="0"/>
    </w:p>
    <w:sectPr w:rsidR="00673E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86" w:rsidRDefault="00087086" w:rsidP="00EF3BE9">
      <w:pPr>
        <w:spacing w:after="0" w:line="240" w:lineRule="auto"/>
      </w:pPr>
      <w:r>
        <w:separator/>
      </w:r>
    </w:p>
  </w:endnote>
  <w:endnote w:type="continuationSeparator" w:id="0">
    <w:p w:rsidR="00087086" w:rsidRDefault="00087086" w:rsidP="00E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86" w:rsidRDefault="00087086" w:rsidP="00EF3BE9">
      <w:pPr>
        <w:spacing w:after="0" w:line="240" w:lineRule="auto"/>
      </w:pPr>
      <w:r>
        <w:separator/>
      </w:r>
    </w:p>
  </w:footnote>
  <w:footnote w:type="continuationSeparator" w:id="0">
    <w:p w:rsidR="00087086" w:rsidRDefault="00087086" w:rsidP="00EF3BE9">
      <w:pPr>
        <w:spacing w:after="0" w:line="240" w:lineRule="auto"/>
      </w:pPr>
      <w:r>
        <w:continuationSeparator/>
      </w:r>
    </w:p>
  </w:footnote>
  <w:footnote w:id="1">
    <w:p w:rsidR="00D4766B" w:rsidRDefault="00D4766B" w:rsidP="00D4766B">
      <w:pPr>
        <w:pStyle w:val="Textonotapie"/>
        <w:jc w:val="both"/>
      </w:pPr>
      <w:r>
        <w:rPr>
          <w:rStyle w:val="Refdenotaalpie"/>
        </w:rPr>
        <w:footnoteRef/>
      </w:r>
      <w:r>
        <w:t xml:space="preserve"> Pese que el Decreto menciona textualmente que se reforma el primer párrafo del numeral 111, es evidente en el cuerpo del mismo, que no solo fue ese párrafo el que se reformó, pues deroga también los siguientes 5 párrafos, y además el párrafo séptimo es reformado por completo, y el octavo parcialmente.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E"/>
    <w:rsid w:val="00043C5E"/>
    <w:rsid w:val="00060862"/>
    <w:rsid w:val="00087086"/>
    <w:rsid w:val="00172435"/>
    <w:rsid w:val="002A57EE"/>
    <w:rsid w:val="002B5121"/>
    <w:rsid w:val="00443777"/>
    <w:rsid w:val="0044610F"/>
    <w:rsid w:val="005B2892"/>
    <w:rsid w:val="005B5E24"/>
    <w:rsid w:val="00622784"/>
    <w:rsid w:val="00673E8B"/>
    <w:rsid w:val="006B7A4D"/>
    <w:rsid w:val="006E23D6"/>
    <w:rsid w:val="00727D79"/>
    <w:rsid w:val="007B7B6E"/>
    <w:rsid w:val="00850C27"/>
    <w:rsid w:val="00853933"/>
    <w:rsid w:val="008A7BE2"/>
    <w:rsid w:val="008E0C0F"/>
    <w:rsid w:val="00A064A7"/>
    <w:rsid w:val="00B73F8A"/>
    <w:rsid w:val="00C801C2"/>
    <w:rsid w:val="00D4766B"/>
    <w:rsid w:val="00D808CA"/>
    <w:rsid w:val="00E033FD"/>
    <w:rsid w:val="00E54A04"/>
    <w:rsid w:val="00E97CAA"/>
    <w:rsid w:val="00EC153F"/>
    <w:rsid w:val="00EF3BE9"/>
    <w:rsid w:val="00F23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F3B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BE9"/>
    <w:rPr>
      <w:sz w:val="20"/>
      <w:szCs w:val="20"/>
    </w:rPr>
  </w:style>
  <w:style w:type="character" w:styleId="Refdenotaalpie">
    <w:name w:val="footnote reference"/>
    <w:basedOn w:val="Fuentedeprrafopredeter"/>
    <w:uiPriority w:val="99"/>
    <w:semiHidden/>
    <w:unhideWhenUsed/>
    <w:rsid w:val="00EF3B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F3B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BE9"/>
    <w:rPr>
      <w:sz w:val="20"/>
      <w:szCs w:val="20"/>
    </w:rPr>
  </w:style>
  <w:style w:type="character" w:styleId="Refdenotaalpie">
    <w:name w:val="footnote reference"/>
    <w:basedOn w:val="Fuentedeprrafopredeter"/>
    <w:uiPriority w:val="99"/>
    <w:semiHidden/>
    <w:unhideWhenUsed/>
    <w:rsid w:val="00EF3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FD05-F2EC-4618-B2E2-B37CE7C0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General de Estudios Legislativos</dc:creator>
  <cp:lastModifiedBy>Villafaña Arellano Bertha Cecilia</cp:lastModifiedBy>
  <cp:revision>2</cp:revision>
  <dcterms:created xsi:type="dcterms:W3CDTF">2018-04-20T00:18:00Z</dcterms:created>
  <dcterms:modified xsi:type="dcterms:W3CDTF">2018-04-20T00:18:00Z</dcterms:modified>
</cp:coreProperties>
</file>